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000"/>
      </w:pPr>
      <w:r>
        <w:rPr>
          <w:b/>
          <w:bCs/>
          <w:color w:val="1F3A5F"/>
          <w:sz w:val="26"/>
          <w:szCs w:val="26"/>
        </w:rPr>
        <w:t xml:space="preserve">CONSTRUCTION</w:t>
      </w:r>
      <w:r>
        <w:rPr>
          <w:b/>
          <w:bCs/>
          <w:color w:val="2E75B6"/>
          <w:sz w:val="26"/>
          <w:szCs w:val="26"/>
        </w:rPr>
        <w:t xml:space="preserve">365</w:t>
      </w:r>
    </w:p>
    <w:p>
      <w:pPr>
        <w:spacing w:after="0"/>
      </w:pPr>
      <w:r>
        <w:rPr>
          <w:color w:val="5B6B7B"/>
          <w:spacing w:val="60"/>
          <w:sz w:val="15"/>
          <w:szCs w:val="15"/>
        </w:rPr>
        <w:t xml:space="preserve">INDEPENDENT ADVISORY SERIES</w:t>
      </w:r>
    </w:p>
    <w:p>
      <w:pPr>
        <w:pBdr>
          <w:bottom w:val="single" w:color="2E75B6" w:sz="18" w:space="6"/>
        </w:pBdr>
        <w:spacing w:after="0" w:before="320"/>
      </w:pPr>
      <w:r>
        <w:rPr>
          <w:b/>
          <w:bCs/>
          <w:color w:val="2E75B6"/>
          <w:spacing w:val="50"/>
          <w:sz w:val="20"/>
          <w:szCs w:val="20"/>
        </w:rPr>
        <w:t xml:space="preserve">EDITABLE TEMPLATE</w:t>
      </w:r>
    </w:p>
    <w:p>
      <w:pPr>
        <w:spacing w:after="0" w:before="300"/>
      </w:pPr>
      <w:r>
        <w:rPr>
          <w:b/>
          <w:bCs/>
          <w:color w:val="1F3A5F"/>
          <w:sz w:val="48"/>
          <w:szCs w:val="48"/>
        </w:rPr>
        <w:t xml:space="preserve">Construction ERP</w:t>
      </w:r>
    </w:p>
    <w:p>
      <w:pPr>
        <w:spacing w:after="0"/>
      </w:pPr>
      <w:r>
        <w:rPr>
          <w:b/>
          <w:bCs/>
          <w:color w:val="1F3A5F"/>
          <w:sz w:val="48"/>
          <w:szCs w:val="48"/>
        </w:rPr>
        <w:t xml:space="preserve">Request for Proposal (RFP / ITT)</w:t>
      </w:r>
    </w:p>
    <w:p>
      <w:pPr>
        <w:spacing w:after="0" w:before="240"/>
      </w:pPr>
      <w:r>
        <w:rPr>
          <w:i/>
          <w:iCs/>
          <w:color w:val="5B6B7B"/>
          <w:sz w:val="22"/>
          <w:szCs w:val="22"/>
        </w:rPr>
        <w:t xml:space="preserve">A ready-to-edit invitation-to-tender template. Replace the bracketed prompts with your details, delete what doesn’t apply, and issue to your shortlisted vendors.</w:t>
      </w:r>
    </w:p>
    <w:p>
      <w:pPr>
        <w:spacing w:after="0" w:before="500"/>
      </w:pPr>
      <w:r>
        <w:rPr>
          <w:color w:val="5B6B7B"/>
          <w:sz w:val="18"/>
          <w:szCs w:val="18"/>
        </w:rPr>
        <w:t xml:space="preserve">Companion to: How to Select the Right Construction ERP System in the UK — 2026 Buyer’s Guide</w:t>
      </w:r>
    </w:p>
    <w:p>
      <w:r>
        <w:br w:type="page"/>
      </w:r>
    </w:p>
    <w:p>
      <w:pPr>
        <w:pStyle w:val="Heading1"/>
      </w:pPr>
      <w:r>
        <w:t xml:space="preserve">How to use this template</w:t>
      </w:r>
    </w:p>
    <w:p>
      <w:pPr>
        <w:spacing w:after="130" w:line="276"/>
      </w:pPr>
      <w:r>
        <w:t xml:space="preserve">This document is a starting structure for a construction ERP invitation to tender. It is deliberately generic so you can tailor it. Work through it as follows: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Replace every </w:t>
      </w:r>
      <w:r>
        <w:rPr>
          <w:b/>
          <w:bCs/>
        </w:rPr>
        <w:t xml:space="preserve">[…]</w:t>
      </w:r>
      <w:r>
        <w:t xml:space="preserve"> prompt with your own information, and delete sections that don’t apply.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In the requirement tables, set each item’s </w:t>
      </w:r>
      <w:r>
        <w:rPr>
          <w:b/>
          <w:bCs/>
        </w:rPr>
        <w:t xml:space="preserve">Priority</w:t>
      </w:r>
      <w:r>
        <w:t xml:space="preserve"> to Must or Desirable, and leave the response column for vendors to complete.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Keep the </w:t>
      </w:r>
      <w:r>
        <w:rPr>
          <w:b/>
          <w:bCs/>
        </w:rPr>
        <w:t xml:space="preserve">UK compliance</w:t>
      </w:r>
      <w:r>
        <w:t xml:space="preserve"> requirements as hard gates — ask vendors to state clearly whether each is native or delivered via an add-on/configuration.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Send to your shortlist (see Chapter 5 of the guide), score responses with the companion spreadsheet, then run scripted demos on your own data.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9D4E0" w:sz="1"/>
              <w:left w:val="single" w:color="2E75B6" w:sz="18"/>
              <w:bottom w:val="single" w:color="C9D4E0" w:sz="1"/>
              <w:right w:val="single" w:color="C9D4E0" w:sz="1"/>
            </w:tcBorders>
            <w:shd w:fill="EAF1F8" w:val="clear"/>
            <w:tcMar>
              <w:top w:type="dxa" w:w="120"/>
              <w:left w:type="dxa" w:w="18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color w:val="1F3A5F"/>
                <w:sz w:val="19"/>
                <w:szCs w:val="19"/>
              </w:rPr>
              <w:t xml:space="preserve">Tip</w:t>
            </w:r>
          </w:p>
          <w:p>
            <w:pPr>
              <w:spacing w:after="40" w:line="260"/>
            </w:pPr>
            <w:r>
              <w:rPr>
                <w:sz w:val="18"/>
                <w:szCs w:val="18"/>
              </w:rPr>
              <w:t xml:space="preserve">Ask vendors to respond inside this document so answers sit directly beneath each requirement — it makes side-by-side scoring far quicker.</w:t>
            </w:r>
          </w:p>
        </w:tc>
      </w:tr>
    </w:tbl>
    <w:p>
      <w:pPr>
        <w:pStyle w:val="Heading1"/>
      </w:pPr>
      <w:r>
        <w:t xml:space="preserve">1.  Company background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Organisation name: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Annual turnover / number of employees: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Subsector(s) (e.g. main contracting, civils, housebuilding, M&amp;E):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Number of legal entities / divisions: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Main contract forms used (e.g. JCT, NEC):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Current systems (finance, payroll, estimating, project tools):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Approximate number of system users (office / site):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pStyle w:val="Heading1"/>
      </w:pPr>
      <w:r>
        <w:t xml:space="preserve">2.  Objectives and drivers</w:t>
      </w:r>
    </w:p>
    <w:p>
      <w:pPr>
        <w:spacing w:after="130" w:line="276"/>
      </w:pPr>
      <w:r>
        <w:t xml:space="preserve">Summarise the problems you need to solve and the outcomes you are seeking (for example: live cost control, automated CIS, faster month-end, multi-entity consolidation, mobile site capture).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Primary objectives: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Key pain points with the current setup: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Target go-live / timeline drivers: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pStyle w:val="Heading1"/>
      </w:pPr>
      <w:r>
        <w:t xml:space="preserve">3.  Scope and modules</w:t>
      </w:r>
    </w:p>
    <w:p>
      <w:pPr>
        <w:spacing w:after="130" w:line="276"/>
      </w:pPr>
      <w:r>
        <w:t xml:space="preserve">Indicate which functional areas are in scope. Vendors should confirm coverage and flag anything delivered by a third party.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200"/>
        <w:gridCol w:w="3226"/>
      </w:tblGrid>
      <w:tr>
        <w:trPr>
          <w:tblHeader/>
        </w:trP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Module / area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In scope? (Y/N)</w:t>
            </w: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Vendor coverage (Native / Add-on / Not available)</w:t>
            </w: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Finance &amp; job costing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Commercial (AfP, valuations, CVR, retentions)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Subcontract management &amp; CIS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Procurement &amp; supply chain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Payroll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Plant &amp; equipment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Mobile / field operations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Document control / golden thread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36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Reporting &amp; dashboards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2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</w:tbl>
    <w:p>
      <w:pPr>
        <w:pStyle w:val="Heading1"/>
      </w:pPr>
      <w:r>
        <w:t xml:space="preserve">4.  Functional requirements</w:t>
      </w:r>
    </w:p>
    <w:p>
      <w:pPr>
        <w:spacing w:after="130" w:line="276"/>
      </w:pPr>
      <w:r>
        <w:t xml:space="preserve">Set each item’s priority to Must or Desirable; vendors complete the response column.</w:t>
      </w:r>
    </w:p>
    <w:p>
      <w:pPr>
        <w:pStyle w:val="Heading2"/>
      </w:pPr>
      <w:r>
        <w:t xml:space="preserve">4.1  Commercial &amp; project accounting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3326"/>
      </w:tblGrid>
      <w:tr>
        <w:trPr>
          <w:tblHeader/>
        </w:trP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Requirement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Vendor response (Yes / Partial / No + notes)</w:t>
            </w: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Real-time job/contract costing with cost-to-complete &amp; committed cost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Applications for payment &amp; valuations (JCT / NEC / bespoke)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Cost-Value Reconciliation (CVR)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Retention management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Variations / compensation events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Subcontract orders &amp; contra charges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WIP &amp; revenue recognition (FRS 102 / IFRS 15)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Multi-entity consolidation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</w:tbl>
    <w:p>
      <w:pPr>
        <w:pStyle w:val="Heading2"/>
      </w:pPr>
      <w:r>
        <w:t xml:space="preserve">4.2  Operational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3326"/>
      </w:tblGrid>
      <w:tr>
        <w:trPr>
          <w:tblHeader/>
        </w:trP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Requirement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Vendor response (Yes / Partial / No + notes)</w:t>
            </w: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Offline-capable mobile app for site (timesheets, photos, reports)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Plant &amp; equipment management (owned &amp; hired)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Procurement with GRN &amp; three-way matching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Document management / Building Safety Act golden thread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</w:tbl>
    <w:p>
      <w:pPr>
        <w:pStyle w:val="Heading1"/>
      </w:pPr>
      <w:r>
        <w:t xml:space="preserve">5.  UK compliance requirements (mandatory)</w:t>
      </w:r>
    </w:p>
    <w:p>
      <w:pPr>
        <w:spacing w:after="130" w:line="276"/>
      </w:pPr>
      <w:r>
        <w:t xml:space="preserve">These are pass/fail. For each, state clearly whether the capability is </w:t>
      </w:r>
      <w:r>
        <w:t xml:space="preserve">native</w:t>
      </w:r>
      <w:r>
        <w:t xml:space="preserve"> or delivered </w:t>
      </w:r>
      <w:r>
        <w:t xml:space="preserve">via an add-on / configuration</w:t>
      </w:r>
      <w:r>
        <w:t xml:space="preserve">, and name any third-party product involved.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200"/>
        <w:gridCol w:w="2626"/>
      </w:tblGrid>
      <w:tr>
        <w:trPr>
          <w:tblHeader/>
        </w:trP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Compliance requirement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Native or add-on?</w:t>
            </w:r>
          </w:p>
        </w:tc>
        <w:tc>
          <w:tcPr>
            <w:tcW w:type="dxa" w:w="26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Notes / product</w:t>
            </w: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Construction Industry Scheme (CIS) — verification, deductions, returns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6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VAT Domestic Reverse Charge (sales &amp; purchases)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6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CITB levy calculation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6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Making Tax Digital for VAT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6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Building Safety Act — golden thread / document control</w:t>
            </w:r>
          </w:p>
        </w:tc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6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</w:tbl>
    <w:p>
      <w:pPr>
        <w:pStyle w:val="Heading1"/>
      </w:pPr>
      <w:r>
        <w:t xml:space="preserve">6.  Technical and integration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3326"/>
      </w:tblGrid>
      <w:tr>
        <w:trPr>
          <w:tblHeader/>
        </w:trP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Requirement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Vendor response (Yes / Partial / No + notes)</w:t>
            </w: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Cloud / hosting model (state SaaS, private cloud or on-premise)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Security &amp; accreditations (e.g. ISO 27001, SOC 2)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Open APIs / pre-built connectors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Integration with our estimating / payroll / PM tools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Integration with Procore / BIM / common data environment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Data-migration approach from our current systems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</w:tbl>
    <w:p>
      <w:pPr>
        <w:pStyle w:val="Heading1"/>
      </w:pPr>
      <w:r>
        <w:t xml:space="preserve">7.  Implementation and support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3326"/>
      </w:tblGrid>
      <w:tr>
        <w:trPr>
          <w:tblHeader/>
        </w:trP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Requirement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Vendor response (Yes / Partial / No + notes)</w:t>
            </w: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Implementation methodology &amp; governance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Indicative timeline for an organisation of our size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Delivery team &amp; partner (named, with construction experience)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Training &amp; change-management approach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Support model, hours &amp; SLAs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Must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Exit / data-portability terms</w:t>
            </w:r>
          </w:p>
        </w:tc>
        <w:tc>
          <w:tcPr>
            <w:tcW w:type="dxa" w:w="13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Desirable</w:t>
            </w:r>
          </w:p>
        </w:tc>
        <w:tc>
          <w:tcPr>
            <w:tcW w:type="dxa" w:w="33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</w:tbl>
    <w:p>
      <w:pPr>
        <w:pStyle w:val="Heading1"/>
      </w:pPr>
      <w:r>
        <w:t xml:space="preserve">8.  Commercials</w:t>
      </w:r>
    </w:p>
    <w:p>
      <w:pPr>
        <w:spacing w:after="130" w:line="276"/>
      </w:pPr>
      <w:r>
        <w:t xml:space="preserve">Provide a full, itemised five-year cost picture. Headline licence cost alone is not sufficient.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400"/>
        <w:gridCol w:w="2426"/>
      </w:tblGrid>
      <w:tr>
        <w:trPr>
          <w:tblHeader/>
        </w:trP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Cost item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Year 1</w:t>
            </w: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Years 2–5 (each)</w:t>
            </w: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Software licence / subscription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Implementation &amp; configuration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Data migration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Integration / API development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Add-on modules (itemise)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Training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Annual support / maintenance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Hosting / infrastructure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4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Indicative 5-year total cost of ownership</w:t>
            </w:r>
          </w:p>
        </w:tc>
        <w:tc>
          <w:tcPr>
            <w:tcW w:type="dxa" w:w="2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2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</w:tbl>
    <w:p>
      <w:pPr>
        <w:spacing w:after="130" w:line="276"/>
      </w:pPr>
      <w:r>
        <w:rPr>
          <w:color w:val="5B6B7B"/>
          <w:sz w:val="18"/>
          <w:szCs w:val="18"/>
        </w:rPr>
        <w:t xml:space="preserve">State your licensing model (per named user, per concurrent user, consumption-based, etc.) and any annual uplift or renewal caps.</w:t>
      </w:r>
    </w:p>
    <w:p>
      <w:pPr>
        <w:pStyle w:val="Heading1"/>
      </w:pPr>
      <w:r>
        <w:t xml:space="preserve">9.  Vendor information and references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Company overview, ownership and financial stability: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Number of UK construction customers: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30" w:line="276"/>
      </w:pPr>
      <w:r>
        <w:t xml:space="preserve">Provide </w:t>
      </w:r>
      <w:r>
        <w:t xml:space="preserve">three reference customers</w:t>
      </w:r>
      <w:r>
        <w:t xml:space="preserve"> of similar size and subsector to us, each with a contact: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426"/>
      </w:tblGrid>
      <w:tr>
        <w:trPr>
          <w:tblHeader/>
        </w:trPr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Reference</w:t>
            </w:r>
          </w:p>
        </w:tc>
        <w:tc>
          <w:tcPr>
            <w:tcW w:type="dxa" w:w="3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Size / subsector</w:t>
            </w:r>
          </w:p>
        </w:tc>
        <w:tc>
          <w:tcPr>
            <w:tcW w:type="dxa" w:w="3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Contact</w:t>
            </w:r>
          </w:p>
        </w:tc>
      </w:tr>
      <w:tr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1</w:t>
            </w:r>
          </w:p>
        </w:tc>
        <w:tc>
          <w:tcPr>
            <w:tcW w:type="dxa" w:w="3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2</w:t>
            </w:r>
          </w:p>
        </w:tc>
        <w:tc>
          <w:tcPr>
            <w:tcW w:type="dxa" w:w="3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  <w:tr>
        <w:tc>
          <w:tcPr>
            <w:tcW w:type="dxa" w:w="22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3</w:t>
            </w:r>
          </w:p>
        </w:tc>
        <w:tc>
          <w:tcPr>
            <w:tcW w:type="dxa" w:w="34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  <w:tc>
          <w:tcPr>
            <w:tcW w:type="dxa" w:w="34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</w:p>
        </w:tc>
      </w:tr>
    </w:tbl>
    <w:p>
      <w:pPr>
        <w:pStyle w:val="Heading1"/>
      </w:pPr>
      <w:r>
        <w:t xml:space="preserve">10.  Evaluation criteria and process</w:t>
      </w:r>
    </w:p>
    <w:p>
      <w:pPr>
        <w:spacing w:after="130" w:line="276"/>
      </w:pPr>
      <w:r>
        <w:t xml:space="preserve">We will score responses against the weighted criteria below (adjust to suit). Shortlisted vendors will be invited to demonstrate the system on our own data.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526"/>
      </w:tblGrid>
      <w:tr>
        <w:trPr>
          <w:tblHeader/>
        </w:trP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Criterion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Weight</w:t>
            </w:r>
          </w:p>
        </w:tc>
      </w:tr>
      <w:t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UK compliance (CIS, DRC, CITB, MTD, BSA)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20%</w:t>
            </w:r>
          </w:p>
        </w:tc>
      </w:tr>
      <w:t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Functional fit (costing, AfP, CVR, subcontract)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20%</w:t>
            </w:r>
          </w:p>
        </w:tc>
      </w:tr>
      <w:t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Total cost of ownership (5-year)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15%</w:t>
            </w:r>
          </w:p>
        </w:tc>
      </w:tr>
      <w:t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Usability &amp; adoption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12%</w:t>
            </w:r>
          </w:p>
        </w:tc>
      </w:tr>
      <w:t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Implementation approach &amp; timeline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10%</w:t>
            </w:r>
          </w:p>
        </w:tc>
      </w:tr>
      <w:t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Integration &amp; data migration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10%</w:t>
            </w:r>
          </w:p>
        </w:tc>
      </w:tr>
      <w:t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Mobile &amp; field capability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7%</w:t>
            </w:r>
          </w:p>
        </w:tc>
      </w:tr>
      <w:tr>
        <w:tc>
          <w:tcPr>
            <w:tcW w:type="dxa" w:w="5500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Vendor viability &amp; UK support</w:t>
            </w:r>
          </w:p>
        </w:tc>
        <w:tc>
          <w:tcPr>
            <w:tcW w:type="dxa" w:w="3526"/>
            <w:tcBorders>
              <w:top w:val="single" w:color="C9D4E0" w:sz="1"/>
              <w:left w:val="single" w:color="C9D4E0" w:sz="1"/>
              <w:bottom w:val="single" w:color="C9D4E0" w:sz="1"/>
              <w:right w:val="single" w:color="C9D4E0" w:sz="1"/>
            </w:tcBorders>
            <w:shd w:fill="EAF1F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44"/>
            </w:pPr>
            <w:r>
              <w:rPr>
                <w:sz w:val="16"/>
                <w:szCs w:val="16"/>
              </w:rPr>
              <w:t xml:space="preserve">6%</w:t>
            </w:r>
          </w:p>
        </w:tc>
      </w:tr>
    </w:tbl>
    <w:p>
      <w:pPr>
        <w:pStyle w:val="Heading2"/>
      </w:pPr>
      <w:r>
        <w:t xml:space="preserve">Timeline &amp; submission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RFP issued: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Questions deadline: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Response deadline: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Demonstrations: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Decision &amp; notification: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spacing w:after="120" w:line="276"/>
      </w:pPr>
      <w:r>
        <w:rPr>
          <w:b/>
          <w:bCs/>
          <w:sz w:val="20"/>
          <w:szCs w:val="20"/>
        </w:rPr>
        <w:t xml:space="preserve">Submit responses to (name / email):  </w:t>
      </w:r>
      <w:r>
        <w:rPr>
          <w:color w:val="5B6B7B"/>
          <w:sz w:val="20"/>
          <w:szCs w:val="20"/>
        </w:rPr>
        <w:t xml:space="preserve">[……………………]</w:t>
      </w:r>
    </w:p>
    <w:p>
      <w:pPr>
        <w:pBdr>
          <w:bottom w:val="single" w:color="2E75B6" w:sz="6" w:space="1"/>
        </w:pBdr>
        <w:spacing w:after="120" w:before="120"/>
      </w:pPr>
    </w:p>
    <w:p>
      <w:pPr>
        <w:spacing w:after="130" w:line="276"/>
      </w:pPr>
      <w:r>
        <w:rPr>
          <w:i/>
          <w:iCs/>
          <w:color w:val="5B6B7B"/>
          <w:sz w:val="18"/>
          <w:szCs w:val="18"/>
        </w:rPr>
        <w:t xml:space="preserve">This template is provided for general use and does not constitute legal or procurement advice. Adapt it to your organisation’s own procurement rules and contractual requirements before issuing.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4E0" w:sz="4" w:space="4"/>
      </w:pBdr>
      <w:tabs>
        <w:tab w:val="right" w:pos="9026"/>
      </w:tabs>
      <w:spacing w:before="0"/>
    </w:pPr>
    <w:r>
      <w:rPr>
        <w:color w:val="5B6B7B"/>
        <w:sz w:val="15"/>
        <w:szCs w:val="15"/>
      </w:rPr>
      <w:t xml:space="preserve">Construction365 — Independent Construction Advisors</w:t>
    </w:r>
    <w:r>
      <w:rPr>
        <w:color w:val="5B6B7B"/>
        <w:sz w:val="15"/>
        <w:szCs w:val="15"/>
      </w:rPr>
      <w:t xml:space="preserve">	Page </w:t>
    </w:r>
    <w:r>
      <w:rPr>
        <w:color w:val="5B6B7B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B7B"/>
        <w:sz w:val="15"/>
        <w:szCs w:val="15"/>
      </w:rPr>
      <w:t xml:space="preserve"> of </w:t>
    </w:r>
    <w:r>
      <w:rPr>
        <w:color w:val="5B6B7B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4E0" w:sz="4" w:space="4"/>
      </w:pBdr>
      <w:tabs>
        <w:tab w:val="right" w:pos="9026"/>
      </w:tabs>
      <w:spacing w:after="0"/>
    </w:pPr>
    <w:r>
      <w:rPr>
        <w:color w:val="5B6B7B"/>
        <w:sz w:val="15"/>
        <w:szCs w:val="15"/>
      </w:rPr>
      <w:t xml:space="preserve">Construction ERP — RFP / ITT Template</w:t>
    </w:r>
    <w:r>
      <w:rPr>
        <w:color w:val="5B6B7B"/>
        <w:sz w:val="15"/>
        <w:szCs w:val="15"/>
      </w:rPr>
      <w:t xml:space="preserve">	Editable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E75B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B36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30" w:before="260"/>
      <w:outlineLvl w:val="0"/>
    </w:pPr>
    <w:rPr>
      <w:rFonts w:ascii="Calibri" w:cs="Calibri" w:eastAsia="Calibri" w:hAnsi="Calibr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180"/>
      <w:outlineLvl w:val="1"/>
    </w:pPr>
    <w:rPr>
      <w:rFonts w:ascii="Calibri" w:cs="Calibri" w:eastAsia="Calibri" w:hAnsi="Calibri"/>
      <w:b/>
      <w:bCs/>
      <w:color w:val="1F3A5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ERP RFP / ITT Template</dc:title>
  <dc:creator>Construction365</dc:creator>
  <cp:lastModifiedBy>Un-named</cp:lastModifiedBy>
  <cp:revision>1</cp:revision>
  <dcterms:created xsi:type="dcterms:W3CDTF">2026-06-21T09:44:47.754Z</dcterms:created>
  <dcterms:modified xsi:type="dcterms:W3CDTF">2026-06-21T09:44:47.754Z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