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700"/>
      </w:pPr>
      <w:r>
        <w:rPr>
          <w:b/>
          <w:bCs/>
          <w:color w:val="1F3A5F"/>
          <w:sz w:val="30"/>
          <w:szCs w:val="30"/>
        </w:rPr>
        <w:t xml:space="preserve">CONSTRUCTION</w:t>
      </w:r>
      <w:r>
        <w:rPr>
          <w:b/>
          <w:bCs/>
          <w:color w:val="2E75B6"/>
          <w:sz w:val="30"/>
          <w:szCs w:val="30"/>
        </w:rPr>
        <w:t xml:space="preserve">365</w:t>
      </w:r>
    </w:p>
    <w:p>
      <w:pPr>
        <w:spacing w:after="0"/>
      </w:pPr>
      <w:r>
        <w:rPr>
          <w:color w:val="5B6B7B"/>
          <w:spacing w:val="60"/>
          <w:sz w:val="16"/>
          <w:szCs w:val="16"/>
        </w:rPr>
        <w:t xml:space="preserve">INDEPENDENT ADVISORY SERIES</w:t>
      </w:r>
    </w:p>
    <w:p>
      <w:pPr>
        <w:pBdr>
          <w:bottom w:val="single" w:color="2E75B6" w:sz="18" w:space="6"/>
        </w:pBdr>
        <w:spacing w:after="0" w:before="320"/>
      </w:pPr>
      <w:r>
        <w:rPr>
          <w:b/>
          <w:bCs/>
          <w:color w:val="2E75B6"/>
          <w:spacing w:val="50"/>
          <w:sz w:val="22"/>
          <w:szCs w:val="22"/>
        </w:rPr>
        <w:t xml:space="preserve">INDEPENDENT BUYER’S GUIDE — 2026</w:t>
      </w:r>
    </w:p>
    <w:p>
      <w:pPr>
        <w:spacing w:after="0" w:before="340"/>
      </w:pPr>
      <w:r>
        <w:rPr>
          <w:b/>
          <w:bCs/>
          <w:color w:val="1F3A5F"/>
          <w:sz w:val="54"/>
          <w:szCs w:val="54"/>
        </w:rPr>
        <w:t xml:space="preserve">How to Select the Right</w:t>
      </w:r>
    </w:p>
    <w:p>
      <w:pPr>
        <w:spacing w:after="0"/>
      </w:pPr>
      <w:r>
        <w:rPr>
          <w:b/>
          <w:bCs/>
          <w:color w:val="1F3A5F"/>
          <w:sz w:val="54"/>
          <w:szCs w:val="54"/>
        </w:rPr>
        <w:t xml:space="preserve">Construction ERP System</w:t>
      </w:r>
    </w:p>
    <w:p>
      <w:pPr>
        <w:spacing w:after="0"/>
      </w:pPr>
      <w:r>
        <w:rPr>
          <w:b/>
          <w:bCs/>
          <w:color w:val="1F3A5F"/>
          <w:sz w:val="54"/>
          <w:szCs w:val="54"/>
        </w:rPr>
        <w:t xml:space="preserve">in the UK</w:t>
      </w:r>
    </w:p>
    <w:p>
      <w:pPr>
        <w:spacing w:after="0" w:before="260"/>
      </w:pPr>
      <w:r>
        <w:rPr>
          <w:i/>
          <w:iCs/>
          <w:color w:val="5B6B7B"/>
          <w:sz w:val="24"/>
          <w:szCs w:val="24"/>
        </w:rPr>
        <w:t xml:space="preserve">A practical, vendor-neutral guide to choosing the right system for your subsector and size — with a 2026 vendor comparison matrix, indicative costs, shortlists, case studies and ready-to-use templates.</w:t>
      </w:r>
    </w:p>
    <w:p>
      <w:pPr>
        <w:pBdr>
          <w:top w:val="single" w:color="C9D4E0" w:sz="6" w:space="6"/>
        </w:pBdr>
        <w:spacing w:after="0" w:before="900"/>
      </w:pPr>
    </w:p>
    <w:p>
      <w:pPr>
        <w:spacing w:after="50" w:line="276"/>
      </w:pPr>
      <w:r>
        <w:rPr>
          <w:color w:val="5B6B7B"/>
          <w:sz w:val="20"/>
          <w:szCs w:val="20"/>
        </w:rPr>
        <w:t xml:space="preserve">Who it’s for:</w:t>
      </w:r>
      <w:r>
        <w:rPr>
          <w:color w:val="5B6B7B"/>
          <w:sz w:val="20"/>
          <w:szCs w:val="20"/>
        </w:rPr>
        <w:t xml:space="preserve">  Finance, commercial, operations and IT decision-makers in UK construction, contracting and housebuilding businesses.</w:t>
      </w:r>
    </w:p>
    <w:p>
      <w:pPr>
        <w:spacing w:after="50" w:line="276"/>
      </w:pPr>
      <w:r>
        <w:rPr>
          <w:color w:val="5B6B7B"/>
          <w:sz w:val="20"/>
          <w:szCs w:val="20"/>
        </w:rPr>
        <w:t xml:space="preserve">Published:</w:t>
      </w:r>
      <w:r>
        <w:rPr>
          <w:color w:val="5B6B7B"/>
          <w:sz w:val="20"/>
          <w:szCs w:val="20"/>
        </w:rPr>
        <w:t xml:space="preserve">  June 2026</w:t>
      </w:r>
    </w:p>
    <w:p>
      <w:pPr>
        <w:spacing w:after="140" w:line="276"/>
      </w:pPr>
      <w:r>
        <w:rPr>
          <w:color w:val="5B6B7B"/>
          <w:sz w:val="20"/>
          <w:szCs w:val="20"/>
        </w:rPr>
        <w:t xml:space="preserve">Status:</w:t>
      </w:r>
      <w:r>
        <w:rPr>
          <w:color w:val="5B6B7B"/>
          <w:sz w:val="20"/>
          <w:szCs w:val="20"/>
        </w:rPr>
        <w:t xml:space="preserve">  Independent market guidance — all figures and vendor positioning are indicative and should be validated during procurement.</w:t>
      </w:r>
    </w:p>
    <w:p>
      <w:r>
        <w:br w:type="page"/>
      </w:r>
    </w:p>
    <w:p>
      <w:pPr>
        <w:spacing w:after="200"/>
      </w:pPr>
      <w:r>
        <w:rPr>
          <w:b/>
          <w:bCs/>
          <w:color w:val="1F3A5F"/>
          <w:sz w:val="36"/>
          <w:szCs w:val="36"/>
        </w:rPr>
        <w:t xml:space="preserve">Contents</w:t>
      </w:r>
    </w:p>
    <w:p>
      <w:pPr>
        <w:tabs>
          <w:tab w:val="right" w:pos="9026" w:leader="dot"/>
        </w:tabs>
        <w:spacing w:after="90" w:line="276"/>
      </w:pPr>
      <w:r>
        <w:rPr>
          <w:color w:val="222B36"/>
          <w:sz w:val="22"/>
          <w:szCs w:val="22"/>
        </w:rPr>
        <w:t xml:space="preserve">Executive summary</w:t>
      </w:r>
      <w:r>
        <w:t xml:space="preserve">	</w:t>
      </w:r>
      <w:r>
        <w:rPr>
          <w:b/>
          <w:bCs/>
          <w:color w:val="1F3A5F"/>
          <w:sz w:val="22"/>
          <w:szCs w:val="22"/>
        </w:rPr>
        <w:t xml:space="preserve">3</w:t>
      </w:r>
    </w:p>
    <w:p>
      <w:pPr>
        <w:tabs>
          <w:tab w:val="right" w:pos="9026" w:leader="dot"/>
        </w:tabs>
        <w:spacing w:after="90" w:line="276"/>
      </w:pPr>
      <w:r>
        <w:rPr>
          <w:color w:val="222B36"/>
          <w:sz w:val="22"/>
          <w:szCs w:val="22"/>
        </w:rPr>
        <w:t xml:space="preserve">Quick decision guide — find your shortlist in four steps</w:t>
      </w:r>
      <w:r>
        <w:t xml:space="preserve">	</w:t>
      </w:r>
      <w:r>
        <w:rPr>
          <w:b/>
          <w:bCs/>
          <w:color w:val="1F3A5F"/>
          <w:sz w:val="22"/>
          <w:szCs w:val="22"/>
        </w:rPr>
        <w:t xml:space="preserve">4</w:t>
      </w:r>
    </w:p>
    <w:p>
      <w:pPr>
        <w:tabs>
          <w:tab w:val="right" w:pos="9026" w:leader="dot"/>
        </w:tabs>
        <w:spacing w:after="90" w:line="276"/>
      </w:pPr>
      <w:r>
        <w:rPr>
          <w:color w:val="222B36"/>
          <w:sz w:val="22"/>
          <w:szCs w:val="22"/>
        </w:rPr>
        <w:t xml:space="preserve">Chapter 1 — Is now the right time?</w:t>
      </w:r>
      <w:r>
        <w:t xml:space="preserve">	</w:t>
      </w:r>
      <w:r>
        <w:rPr>
          <w:b/>
          <w:bCs/>
          <w:color w:val="1F3A5F"/>
          <w:sz w:val="22"/>
          <w:szCs w:val="22"/>
        </w:rPr>
        <w:t xml:space="preserve">5</w:t>
      </w:r>
    </w:p>
    <w:p>
      <w:pPr>
        <w:tabs>
          <w:tab w:val="right" w:pos="9026" w:leader="dot"/>
        </w:tabs>
        <w:spacing w:after="90" w:line="276"/>
      </w:pPr>
      <w:r>
        <w:rPr>
          <w:color w:val="222B36"/>
          <w:sz w:val="22"/>
          <w:szCs w:val="22"/>
        </w:rPr>
        <w:t xml:space="preserve">Chapter 2 — Core requirements every UK contractor must have</w:t>
      </w:r>
      <w:r>
        <w:t xml:space="preserve">	</w:t>
      </w:r>
      <w:r>
        <w:rPr>
          <w:b/>
          <w:bCs/>
          <w:color w:val="1F3A5F"/>
          <w:sz w:val="22"/>
          <w:szCs w:val="22"/>
        </w:rPr>
        <w:t xml:space="preserve">7</w:t>
      </w:r>
    </w:p>
    <w:p>
      <w:pPr>
        <w:tabs>
          <w:tab w:val="right" w:pos="9026" w:leader="dot"/>
        </w:tabs>
        <w:spacing w:after="90" w:line="276"/>
      </w:pPr>
      <w:r>
        <w:rPr>
          <w:color w:val="222B36"/>
          <w:sz w:val="22"/>
          <w:szCs w:val="22"/>
        </w:rPr>
        <w:t xml:space="preserve">Chapter 3 — Segmenting the market: subsector and size</w:t>
      </w:r>
      <w:r>
        <w:t xml:space="preserve">	</w:t>
      </w:r>
      <w:r>
        <w:rPr>
          <w:b/>
          <w:bCs/>
          <w:color w:val="1F3A5F"/>
          <w:sz w:val="22"/>
          <w:szCs w:val="22"/>
        </w:rPr>
        <w:t xml:space="preserve">9</w:t>
      </w:r>
    </w:p>
    <w:p>
      <w:pPr>
        <w:tabs>
          <w:tab w:val="right" w:pos="9026" w:leader="dot"/>
        </w:tabs>
        <w:spacing w:after="90" w:line="276"/>
      </w:pPr>
      <w:r>
        <w:rPr>
          <w:color w:val="222B36"/>
          <w:sz w:val="22"/>
          <w:szCs w:val="22"/>
        </w:rPr>
        <w:t xml:space="preserve">Chapter 4 — Detailed vendor comparison matrix (2026)</w:t>
      </w:r>
      <w:r>
        <w:t xml:space="preserve">	</w:t>
      </w:r>
      <w:r>
        <w:rPr>
          <w:b/>
          <w:bCs/>
          <w:color w:val="1F3A5F"/>
          <w:sz w:val="22"/>
          <w:szCs w:val="22"/>
        </w:rPr>
        <w:t xml:space="preserve">10</w:t>
      </w:r>
    </w:p>
    <w:p>
      <w:pPr>
        <w:tabs>
          <w:tab w:val="right" w:pos="9026" w:leader="dot"/>
        </w:tabs>
        <w:spacing w:after="90" w:line="276"/>
      </w:pPr>
      <w:r>
        <w:rPr>
          <w:color w:val="222B36"/>
          <w:sz w:val="22"/>
          <w:szCs w:val="22"/>
        </w:rPr>
        <w:t xml:space="preserve">Chapter 5 — Shortlists and the size-by-subsector decision matrix</w:t>
      </w:r>
      <w:r>
        <w:t xml:space="preserve">	</w:t>
      </w:r>
      <w:r>
        <w:rPr>
          <w:b/>
          <w:bCs/>
          <w:color w:val="1F3A5F"/>
          <w:sz w:val="22"/>
          <w:szCs w:val="22"/>
        </w:rPr>
        <w:t xml:space="preserve">14</w:t>
      </w:r>
    </w:p>
    <w:p>
      <w:pPr>
        <w:tabs>
          <w:tab w:val="right" w:pos="9026" w:leader="dot"/>
        </w:tabs>
        <w:spacing w:after="90" w:line="276"/>
      </w:pPr>
      <w:r>
        <w:rPr>
          <w:color w:val="222B36"/>
          <w:sz w:val="22"/>
          <w:szCs w:val="22"/>
        </w:rPr>
        <w:t xml:space="preserve">Chapter 6 — The step-by-step selection process</w:t>
      </w:r>
      <w:r>
        <w:t xml:space="preserve">	</w:t>
      </w:r>
      <w:r>
        <w:rPr>
          <w:b/>
          <w:bCs/>
          <w:color w:val="1F3A5F"/>
          <w:sz w:val="22"/>
          <w:szCs w:val="22"/>
        </w:rPr>
        <w:t xml:space="preserve">19</w:t>
      </w:r>
    </w:p>
    <w:p>
      <w:pPr>
        <w:tabs>
          <w:tab w:val="right" w:pos="9026" w:leader="dot"/>
        </w:tabs>
        <w:spacing w:after="90" w:line="276"/>
      </w:pPr>
      <w:r>
        <w:rPr>
          <w:color w:val="222B36"/>
          <w:sz w:val="22"/>
          <w:szCs w:val="22"/>
        </w:rPr>
        <w:t xml:space="preserve">Chapter 7 — Hidden costs and red flags</w:t>
      </w:r>
      <w:r>
        <w:t xml:space="preserve">	</w:t>
      </w:r>
      <w:r>
        <w:rPr>
          <w:b/>
          <w:bCs/>
          <w:color w:val="1F3A5F"/>
          <w:sz w:val="22"/>
          <w:szCs w:val="22"/>
        </w:rPr>
        <w:t xml:space="preserve">21</w:t>
      </w:r>
    </w:p>
    <w:p>
      <w:pPr>
        <w:tabs>
          <w:tab w:val="right" w:pos="9026" w:leader="dot"/>
        </w:tabs>
        <w:spacing w:after="90" w:line="276"/>
      </w:pPr>
      <w:r>
        <w:rPr>
          <w:color w:val="222B36"/>
          <w:sz w:val="22"/>
          <w:szCs w:val="22"/>
        </w:rPr>
        <w:t xml:space="preserve">Chapter 8 — Real contractor case studies</w:t>
      </w:r>
      <w:r>
        <w:t xml:space="preserve">	</w:t>
      </w:r>
      <w:r>
        <w:rPr>
          <w:b/>
          <w:bCs/>
          <w:color w:val="1F3A5F"/>
          <w:sz w:val="22"/>
          <w:szCs w:val="22"/>
        </w:rPr>
        <w:t xml:space="preserve">23</w:t>
      </w:r>
    </w:p>
    <w:p>
      <w:pPr>
        <w:tabs>
          <w:tab w:val="right" w:pos="9026" w:leader="dot"/>
        </w:tabs>
        <w:spacing w:after="90" w:line="276"/>
      </w:pPr>
      <w:r>
        <w:rPr>
          <w:color w:val="222B36"/>
          <w:sz w:val="22"/>
          <w:szCs w:val="22"/>
        </w:rPr>
        <w:t xml:space="preserve">Chapter 9 — Your action plan and templates</w:t>
      </w:r>
      <w:r>
        <w:t xml:space="preserve">	</w:t>
      </w:r>
      <w:r>
        <w:rPr>
          <w:b/>
          <w:bCs/>
          <w:color w:val="1F3A5F"/>
          <w:sz w:val="22"/>
          <w:szCs w:val="22"/>
        </w:rPr>
        <w:t xml:space="preserve">25</w:t>
      </w:r>
    </w:p>
    <w:p>
      <w:pPr>
        <w:tabs>
          <w:tab w:val="right" w:pos="9026" w:leader="dot"/>
        </w:tabs>
        <w:spacing w:after="90" w:line="276"/>
      </w:pPr>
      <w:r>
        <w:rPr>
          <w:color w:val="222B36"/>
          <w:sz w:val="22"/>
          <w:szCs w:val="22"/>
        </w:rPr>
        <w:t xml:space="preserve">Important notice</w:t>
      </w:r>
      <w:r>
        <w:t xml:space="preserve">	</w:t>
      </w:r>
      <w:r>
        <w:rPr>
          <w:b/>
          <w:bCs/>
          <w:color w:val="1F3A5F"/>
          <w:sz w:val="22"/>
          <w:szCs w:val="22"/>
        </w:rPr>
        <w:t xml:space="preserve">27</w:t>
      </w:r>
    </w:p>
    <w:p>
      <w:r>
        <w:br w:type="page"/>
      </w:r>
    </w:p>
    <w:p>
      <w:pPr>
        <w:pStyle w:val="Heading1"/>
      </w:pPr>
      <w:r>
        <w:t xml:space="preserve">Executive summary</w:t>
      </w:r>
    </w:p>
    <w:p>
      <w:pPr>
        <w:spacing w:after="140" w:line="276"/>
      </w:pPr>
      <w:r>
        <w:t xml:space="preserve">Choosing a construction ERP is one of the highest-stakes decisions a UK contractor makes outside of winning work itself. Done well, it tightens cash flow, protects margins, removes compliance risk and gives leadership a live view of every project. Done badly, it drains six or seven figures, disrupts delivery for a year, and leaves the business no better off than the spreadsheets it replaced.</w:t>
      </w:r>
    </w:p>
    <w:p>
      <w:pPr>
        <w:pStyle w:val="Heading3"/>
      </w:pPr>
      <w:r>
        <w:t xml:space="preserve">Why most construction ERP projects disappoint</w:t>
      </w:r>
    </w:p>
    <w:p>
      <w:pPr>
        <w:spacing w:after="140" w:line="276"/>
      </w:pPr>
      <w:r>
        <w:t xml:space="preserve">The failures are rarely about the technology itself. They cluster around a small number of avoidable mistakes:</w:t>
      </w:r>
    </w:p>
    <w:p>
      <w:pPr>
        <w:pStyle w:val="ListParagraph"/>
        <w:numPr>
          <w:ilvl w:val="0"/>
          <w:numId w:val="2"/>
        </w:numPr>
        <w:spacing w:after="64" w:line="264"/>
      </w:pPr>
      <w:r>
        <w:rPr>
          <w:b/>
          <w:bCs/>
        </w:rPr>
        <w:t xml:space="preserve">Buying for the brand or the lowest price</w:t>
      </w:r>
      <w:r>
        <w:t xml:space="preserve">, rather than for the operating model and size of the business.</w:t>
      </w:r>
    </w:p>
    <w:p>
      <w:pPr>
        <w:pStyle w:val="ListParagraph"/>
        <w:numPr>
          <w:ilvl w:val="0"/>
          <w:numId w:val="2"/>
        </w:numPr>
        <w:spacing w:after="64" w:line="264"/>
      </w:pPr>
      <w:r>
        <w:rPr>
          <w:b/>
          <w:bCs/>
        </w:rPr>
        <w:t xml:space="preserve">Treating UK compliance as a tick-box</w:t>
      </w:r>
      <w:r>
        <w:t xml:space="preserve"> — assuming CIS, the VAT Domestic Reverse Charge and the CITB levy are handled, then discovering they need costly add-ons or manual workarounds.</w:t>
      </w:r>
    </w:p>
    <w:p>
      <w:pPr>
        <w:pStyle w:val="ListParagraph"/>
        <w:numPr>
          <w:ilvl w:val="0"/>
          <w:numId w:val="2"/>
        </w:numPr>
        <w:spacing w:after="64" w:line="264"/>
      </w:pPr>
      <w:r>
        <w:rPr>
          <w:b/>
          <w:bCs/>
        </w:rPr>
        <w:t xml:space="preserve">Underestimating implementation</w:t>
      </w:r>
      <w:r>
        <w:t xml:space="preserve"> — data migration, integration and the productivity dip at go-live routinely cost more than the software.</w:t>
      </w:r>
    </w:p>
    <w:p>
      <w:pPr>
        <w:pStyle w:val="ListParagraph"/>
        <w:numPr>
          <w:ilvl w:val="0"/>
          <w:numId w:val="2"/>
        </w:numPr>
        <w:spacing w:after="64" w:line="264"/>
      </w:pPr>
      <w:r>
        <w:rPr>
          <w:b/>
          <w:bCs/>
        </w:rPr>
        <w:t xml:space="preserve">Skipping evidence</w:t>
      </w:r>
      <w:r>
        <w:t xml:space="preserve"> — selecting on a polished demo and a feature list instead of a scripted trial using the contractor’s own data.</w:t>
      </w:r>
    </w:p>
    <w:p>
      <w:pPr>
        <w:pStyle w:val="ListParagraph"/>
        <w:numPr>
          <w:ilvl w:val="0"/>
          <w:numId w:val="2"/>
        </w:numPr>
        <w:spacing w:after="64" w:line="264"/>
      </w:pPr>
      <w:r>
        <w:rPr>
          <w:b/>
          <w:bCs/>
        </w:rPr>
        <w:t xml:space="preserve">Weak internal ownership</w:t>
      </w:r>
      <w:r>
        <w:t xml:space="preserve"> — no senior sponsor, no dedicated project lead, no plan to manage the change.</w:t>
      </w:r>
    </w:p>
    <w:p>
      <w:pPr>
        <w:pStyle w:val="Heading3"/>
      </w:pPr>
      <w:r>
        <w:t xml:space="preserve">The prize when you get it right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rPr>
          <w:tblHeader/>
        </w:trPr>
        <w:tc>
          <w:tcPr>
            <w:tcW w:type="dxa" w:w="200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Outcome</w:t>
            </w:r>
          </w:p>
        </w:tc>
        <w:tc>
          <w:tcPr>
            <w:tcW w:type="dxa" w:w="7026"/>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What good looks like</w:t>
            </w:r>
          </w:p>
        </w:tc>
      </w:tr>
      <w:tr>
        <w:tc>
          <w:tcPr>
            <w:tcW w:type="dxa" w:w="20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Cash flow</w:t>
            </w:r>
          </w:p>
        </w:tc>
        <w:tc>
          <w:tcPr>
            <w:tcW w:type="dxa" w:w="70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Applications for payment, valuations and retentions managed in-system; faster, more accurate billing; less cash trapped in disputes.</w:t>
            </w:r>
          </w:p>
        </w:tc>
      </w:tr>
      <w:tr>
        <w:tc>
          <w:tcPr>
            <w:tcW w:type="dxa" w:w="20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Margin protection</w:t>
            </w:r>
          </w:p>
        </w:tc>
        <w:tc>
          <w:tcPr>
            <w:tcW w:type="dxa" w:w="70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Live cost-to-complete and committed-cost visibility, so overspends are caught while they can still be corrected — not at final account.</w:t>
            </w:r>
          </w:p>
        </w:tc>
      </w:tr>
      <w:tr>
        <w:tc>
          <w:tcPr>
            <w:tcW w:type="dxa" w:w="20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Compliance &amp; risk</w:t>
            </w:r>
          </w:p>
        </w:tc>
        <w:tc>
          <w:tcPr>
            <w:tcW w:type="dxa" w:w="70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CIS, Domestic Reverse Charge, CITB and the Building Safety Act “golden thread” handled with a clean audit trail.</w:t>
            </w:r>
          </w:p>
        </w:tc>
      </w:tr>
      <w:tr>
        <w:tc>
          <w:tcPr>
            <w:tcW w:type="dxa" w:w="20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Control &amp; insight</w:t>
            </w:r>
          </w:p>
        </w:tc>
        <w:tc>
          <w:tcPr>
            <w:tcW w:type="dxa" w:w="70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One source of truth across finance, commercial and site; faster month-end; better decisions.</w:t>
            </w:r>
          </w:p>
        </w:tc>
      </w:tr>
    </w:tbl>
    <w:p>
      <w:pPr>
        <w:spacing w:after="80" w:line="276"/>
      </w:pPr>
      <w:r>
        <w:t xml:space="preserve">This guide is built to help you avoid the failure modes and capture the prize. It explains when to act, what to insist on, who does what in the UK market, what it costs, and exactly how to run the selection — ending with templates you can use immediately.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9D4E0" w:sz="1"/>
              <w:left w:val="single" w:color="2E75B6" w:sz="18"/>
              <w:bottom w:val="single" w:color="C9D4E0" w:sz="1"/>
              <w:right w:val="single" w:color="C9D4E0" w:sz="1"/>
            </w:tcBorders>
            <w:shd w:fill="EAF1F8" w:val="clear"/>
            <w:tcMar>
              <w:top w:type="dxa" w:w="120"/>
              <w:left w:type="dxa" w:w="180"/>
              <w:bottom w:type="dxa" w:w="120"/>
              <w:right w:type="dxa" w:w="160"/>
            </w:tcMar>
          </w:tcPr>
          <w:p>
            <w:pPr>
              <w:spacing w:after="60"/>
            </w:pPr>
            <w:r>
              <w:rPr>
                <w:b/>
                <w:bCs/>
                <w:color w:val="1F3A5F"/>
                <w:sz w:val="19"/>
                <w:szCs w:val="19"/>
              </w:rPr>
              <w:t xml:space="preserve">How to use this guide</w:t>
            </w:r>
          </w:p>
          <w:p>
            <w:pPr>
              <w:spacing w:after="40" w:line="260"/>
            </w:pPr>
            <w:r>
              <w:rPr>
                <w:sz w:val="18"/>
                <w:szCs w:val="18"/>
              </w:rPr>
              <w:t xml:space="preserve">Read the </w:t>
            </w:r>
            <w:r>
              <w:rPr>
                <w:b/>
                <w:bCs/>
                <w:sz w:val="18"/>
                <w:szCs w:val="18"/>
              </w:rPr>
              <w:t xml:space="preserve">Executive Summary</w:t>
            </w:r>
            <w:r>
              <w:rPr>
                <w:sz w:val="18"/>
                <w:szCs w:val="18"/>
              </w:rPr>
              <w:t xml:space="preserve"> and </w:t>
            </w:r>
            <w:r>
              <w:rPr>
                <w:b/>
                <w:bCs/>
                <w:sz w:val="18"/>
                <w:szCs w:val="18"/>
              </w:rPr>
              <w:t xml:space="preserve">Chapter 1</w:t>
            </w:r>
            <w:r>
              <w:rPr>
                <w:sz w:val="18"/>
                <w:szCs w:val="18"/>
              </w:rPr>
              <w:t xml:space="preserve"> to confirm timing and build the case. Use </w:t>
            </w:r>
            <w:r>
              <w:rPr>
                <w:b/>
                <w:bCs/>
                <w:sz w:val="18"/>
                <w:szCs w:val="18"/>
              </w:rPr>
              <w:t xml:space="preserve">Chapters 2–3</w:t>
            </w:r>
            <w:r>
              <w:rPr>
                <w:sz w:val="18"/>
                <w:szCs w:val="18"/>
              </w:rPr>
              <w:t xml:space="preserve"> to frame requirements and identify your size band and subsector. Use </w:t>
            </w:r>
            <w:r>
              <w:rPr>
                <w:b/>
                <w:bCs/>
                <w:sz w:val="18"/>
                <w:szCs w:val="18"/>
              </w:rPr>
              <w:t xml:space="preserve">Chapters 4–5</w:t>
            </w:r>
            <w:r>
              <w:rPr>
                <w:sz w:val="18"/>
                <w:szCs w:val="18"/>
              </w:rPr>
              <w:t xml:space="preserve"> to build a candidate longlist. Run the process in </w:t>
            </w:r>
            <w:r>
              <w:rPr>
                <w:b/>
                <w:bCs/>
                <w:sz w:val="18"/>
                <w:szCs w:val="18"/>
              </w:rPr>
              <w:t xml:space="preserve">Chapter 6</w:t>
            </w:r>
            <w:r>
              <w:rPr>
                <w:sz w:val="18"/>
                <w:szCs w:val="18"/>
              </w:rPr>
              <w:t xml:space="preserve">, avoid the traps in </w:t>
            </w:r>
            <w:r>
              <w:rPr>
                <w:b/>
                <w:bCs/>
                <w:sz w:val="18"/>
                <w:szCs w:val="18"/>
              </w:rPr>
              <w:t xml:space="preserve">Chapter 7</w:t>
            </w:r>
            <w:r>
              <w:rPr>
                <w:sz w:val="18"/>
                <w:szCs w:val="18"/>
              </w:rPr>
              <w:t xml:space="preserve">, learn from the </w:t>
            </w:r>
            <w:r>
              <w:rPr>
                <w:b/>
                <w:bCs/>
                <w:sz w:val="18"/>
                <w:szCs w:val="18"/>
              </w:rPr>
              <w:t xml:space="preserve">case studies in Chapter 8</w:t>
            </w:r>
            <w:r>
              <w:rPr>
                <w:sz w:val="18"/>
                <w:szCs w:val="18"/>
              </w:rPr>
              <w:t xml:space="preserve">, and execute with the </w:t>
            </w:r>
            <w:r>
              <w:rPr>
                <w:b/>
                <w:bCs/>
                <w:sz w:val="18"/>
                <w:szCs w:val="18"/>
              </w:rPr>
              <w:t xml:space="preserve">templates in Chapter 9</w:t>
            </w:r>
            <w:r>
              <w:rPr>
                <w:sz w:val="18"/>
                <w:szCs w:val="18"/>
              </w:rPr>
              <w:t xml:space="preserve">.</w:t>
            </w:r>
          </w:p>
        </w:tc>
      </w:tr>
    </w:tbl>
    <w:p>
      <w:r>
        <w:br w:type="page"/>
      </w:r>
    </w:p>
    <w:p>
      <w:pPr>
        <w:pStyle w:val="Heading1"/>
      </w:pPr>
      <w:r>
        <w:t xml:space="preserve">Quick decision guide — find your shortlist in four steps</w:t>
      </w:r>
    </w:p>
    <w:p>
      <w:pPr>
        <w:spacing w:after="140" w:line="276"/>
      </w:pPr>
      <w:r>
        <w:t xml:space="preserve">If you read nothing else, read this page. It turns the rest of the guide into a fast, repeatable path from “where do we start?” to a credible three-vendor shortlist. Each step points to the chapter that goes deeper.</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9D4E0" w:sz="1"/>
              <w:left w:val="single" w:color="2E75B6" w:sz="20"/>
              <w:bottom w:val="single" w:color="C9D4E0" w:sz="1"/>
              <w:right w:val="single" w:color="C9D4E0" w:sz="1"/>
            </w:tcBorders>
            <w:shd w:fill="EAF1F8" w:val="clear"/>
            <w:tcMar>
              <w:top w:type="dxa" w:w="100"/>
              <w:left w:type="dxa" w:w="170"/>
              <w:bottom w:type="dxa" w:w="100"/>
              <w:right w:type="dxa" w:w="160"/>
            </w:tcMar>
          </w:tcPr>
          <w:p>
            <w:pPr>
              <w:spacing w:after="30"/>
            </w:pPr>
            <w:r>
              <w:rPr>
                <w:b/>
                <w:bCs/>
                <w:color w:val="2E75B6"/>
                <w:sz w:val="16"/>
                <w:szCs w:val="16"/>
              </w:rPr>
              <w:t xml:space="preserve">STEP 1   </w:t>
            </w:r>
            <w:r>
              <w:rPr>
                <w:b/>
                <w:bCs/>
                <w:color w:val="1F3A5F"/>
                <w:sz w:val="20"/>
                <w:szCs w:val="20"/>
              </w:rPr>
              <w:t xml:space="preserve">Find your size band</w:t>
            </w:r>
          </w:p>
          <w:p>
            <w:pPr>
              <w:spacing w:after="0" w:line="258"/>
            </w:pPr>
            <w:r>
              <w:rPr>
                <w:sz w:val="17"/>
                <w:szCs w:val="17"/>
              </w:rPr>
              <w:t xml:space="preserve">Micro/small (≤£10m) · Medium (£10–£50m) · Large (£50–£250m) · Enterprise/Tier 1 (£250m+). Size sets the tier of system you should be looking at and the realistic budget and timeline. </w:t>
            </w:r>
            <w:r>
              <w:rPr>
                <w:b/>
                <w:bCs/>
                <w:sz w:val="17"/>
                <w:szCs w:val="17"/>
              </w:rPr>
              <w:t xml:space="preserve">See Chapter 3.2.</w:t>
            </w:r>
          </w:p>
        </w:tc>
      </w:tr>
    </w:tbl>
    <w:p>
      <w:pPr>
        <w:spacing w:after="30" w:before="30"/>
        <w:jc w:val="center"/>
      </w:pPr>
      <w:r>
        <w:rPr>
          <w:color w:val="2E75B6"/>
          <w:sz w:val="18"/>
          <w:szCs w:val="18"/>
        </w:rPr>
        <w:t xml:space="preserv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9D4E0" w:sz="1"/>
              <w:left w:val="single" w:color="2E75B6" w:sz="20"/>
              <w:bottom w:val="single" w:color="C9D4E0" w:sz="1"/>
              <w:right w:val="single" w:color="C9D4E0" w:sz="1"/>
            </w:tcBorders>
            <w:shd w:fill="EAF1F8" w:val="clear"/>
            <w:tcMar>
              <w:top w:type="dxa" w:w="100"/>
              <w:left w:type="dxa" w:w="170"/>
              <w:bottom w:type="dxa" w:w="100"/>
              <w:right w:type="dxa" w:w="160"/>
            </w:tcMar>
          </w:tcPr>
          <w:p>
            <w:pPr>
              <w:spacing w:after="30"/>
            </w:pPr>
            <w:r>
              <w:rPr>
                <w:b/>
                <w:bCs/>
                <w:color w:val="2E75B6"/>
                <w:sz w:val="16"/>
                <w:szCs w:val="16"/>
              </w:rPr>
              <w:t xml:space="preserve">STEP 2   </w:t>
            </w:r>
            <w:r>
              <w:rPr>
                <w:b/>
                <w:bCs/>
                <w:color w:val="1F3A5F"/>
                <w:sz w:val="20"/>
                <w:szCs w:val="20"/>
              </w:rPr>
              <w:t xml:space="preserve">Find your subsector</w:t>
            </w:r>
          </w:p>
          <w:p>
            <w:pPr>
              <w:spacing w:after="0" w:line="258"/>
            </w:pPr>
            <w:r>
              <w:rPr>
                <w:sz w:val="17"/>
                <w:szCs w:val="17"/>
              </w:rPr>
              <w:t xml:space="preserve">Main contracting · civils/infrastructure · housebuilding · specialist/M&amp;E · fit-out/SME · maintenance/FM · plant hire. Subsector decides which specialist capabilities are non-negotiable. </w:t>
            </w:r>
            <w:r>
              <w:rPr>
                <w:b/>
                <w:bCs/>
                <w:sz w:val="17"/>
                <w:szCs w:val="17"/>
              </w:rPr>
              <w:t xml:space="preserve">See Chapter 3.1.</w:t>
            </w:r>
          </w:p>
        </w:tc>
      </w:tr>
    </w:tbl>
    <w:p>
      <w:pPr>
        <w:spacing w:after="30" w:before="30"/>
        <w:jc w:val="center"/>
      </w:pPr>
      <w:r>
        <w:rPr>
          <w:color w:val="2E75B6"/>
          <w:sz w:val="18"/>
          <w:szCs w:val="18"/>
        </w:rPr>
        <w:t xml:space="preserv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9D4E0" w:sz="1"/>
              <w:left w:val="single" w:color="2E75B6" w:sz="20"/>
              <w:bottom w:val="single" w:color="C9D4E0" w:sz="1"/>
              <w:right w:val="single" w:color="C9D4E0" w:sz="1"/>
            </w:tcBorders>
            <w:shd w:fill="EAF1F8" w:val="clear"/>
            <w:tcMar>
              <w:top w:type="dxa" w:w="100"/>
              <w:left w:type="dxa" w:w="170"/>
              <w:bottom w:type="dxa" w:w="100"/>
              <w:right w:type="dxa" w:w="160"/>
            </w:tcMar>
          </w:tcPr>
          <w:p>
            <w:pPr>
              <w:spacing w:after="30"/>
            </w:pPr>
            <w:r>
              <w:rPr>
                <w:b/>
                <w:bCs/>
                <w:color w:val="2E75B6"/>
                <w:sz w:val="16"/>
                <w:szCs w:val="16"/>
              </w:rPr>
              <w:t xml:space="preserve">STEP 3   </w:t>
            </w:r>
            <w:r>
              <w:rPr>
                <w:b/>
                <w:bCs/>
                <w:color w:val="1F3A5F"/>
                <w:sz w:val="20"/>
                <w:szCs w:val="20"/>
              </w:rPr>
              <w:t xml:space="preserve">Read your top picks</w:t>
            </w:r>
          </w:p>
          <w:p>
            <w:pPr>
              <w:spacing w:after="0" w:line="258"/>
            </w:pPr>
            <w:r>
              <w:rPr>
                <w:sz w:val="17"/>
                <w:szCs w:val="17"/>
              </w:rPr>
              <w:t xml:space="preserve">Cross your size band with your subsector in the decision matrix to get a starting shortlist of two to three named options. </w:t>
            </w:r>
            <w:r>
              <w:rPr>
                <w:b/>
                <w:bCs/>
                <w:sz w:val="17"/>
                <w:szCs w:val="17"/>
              </w:rPr>
              <w:t xml:space="preserve">See the size-by-subsector decision matrix in Chapter 5.6</w:t>
            </w:r>
            <w:r>
              <w:rPr>
                <w:sz w:val="17"/>
                <w:szCs w:val="17"/>
              </w:rPr>
              <w:t xml:space="preserve">, and the fuller shortlists in 5.1–5.5.</w:t>
            </w:r>
          </w:p>
        </w:tc>
      </w:tr>
    </w:tbl>
    <w:p>
      <w:pPr>
        <w:spacing w:after="30" w:before="30"/>
        <w:jc w:val="center"/>
      </w:pPr>
      <w:r>
        <w:rPr>
          <w:color w:val="2E75B6"/>
          <w:sz w:val="18"/>
          <w:szCs w:val="18"/>
        </w:rPr>
        <w:t xml:space="preserv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9D4E0" w:sz="1"/>
              <w:left w:val="single" w:color="1F3A5F" w:sz="20"/>
              <w:bottom w:val="single" w:color="C9D4E0" w:sz="1"/>
              <w:right w:val="single" w:color="C9D4E0" w:sz="1"/>
            </w:tcBorders>
            <w:shd w:fill="D9E2EC" w:val="clear"/>
            <w:tcMar>
              <w:top w:type="dxa" w:w="100"/>
              <w:left w:type="dxa" w:w="170"/>
              <w:bottom w:type="dxa" w:w="100"/>
              <w:right w:type="dxa" w:w="160"/>
            </w:tcMar>
          </w:tcPr>
          <w:p>
            <w:pPr>
              <w:spacing w:after="30"/>
            </w:pPr>
            <w:r>
              <w:rPr>
                <w:b/>
                <w:bCs/>
                <w:color w:val="1F3A5F"/>
                <w:sz w:val="16"/>
                <w:szCs w:val="16"/>
              </w:rPr>
              <w:t xml:space="preserve">STEP 4   </w:t>
            </w:r>
            <w:r>
              <w:rPr>
                <w:b/>
                <w:bCs/>
                <w:color w:val="1F3A5F"/>
                <w:sz w:val="20"/>
                <w:szCs w:val="20"/>
              </w:rPr>
              <w:t xml:space="preserve">Validate before you commit</w:t>
            </w:r>
          </w:p>
          <w:p>
            <w:pPr>
              <w:spacing w:after="0" w:line="258"/>
            </w:pPr>
            <w:r>
              <w:rPr>
                <w:sz w:val="17"/>
                <w:szCs w:val="17"/>
              </w:rPr>
              <w:t xml:space="preserve">Score the shortlist with the companion spreadsheet and prove it on your own data in scripted demos — verify a CIS subcontractor, raise an application for payment, run the Reverse Charge, produce a CVR. </w:t>
            </w:r>
            <w:r>
              <w:rPr>
                <w:b/>
                <w:bCs/>
                <w:sz w:val="17"/>
                <w:szCs w:val="17"/>
              </w:rPr>
              <w:t xml:space="preserve">See Chapter 6</w:t>
            </w:r>
            <w:r>
              <w:rPr>
                <w:sz w:val="17"/>
                <w:szCs w:val="17"/>
              </w:rPr>
              <w:t xml:space="preserve">, and watch for the traps in </w:t>
            </w:r>
            <w:r>
              <w:rPr>
                <w:b/>
                <w:bCs/>
                <w:sz w:val="17"/>
                <w:szCs w:val="17"/>
              </w:rPr>
              <w:t xml:space="preserve">Chapter 7.</w:t>
            </w:r>
          </w:p>
        </w:tc>
      </w:tr>
    </w:tbl>
    <w:p>
      <w:pPr>
        <w:spacing w:after="140" w:before="120" w:line="276"/>
      </w:pPr>
      <w:r>
        <w:rPr>
          <w:color w:val="5B6B7B"/>
          <w:sz w:val="18"/>
          <w:szCs w:val="18"/>
        </w:rPr>
        <w:t xml:space="preserve">At a glance — the headline option most often shortlisted by size band (always validate against your subsector and requirements):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6626"/>
      </w:tblGrid>
      <w:tr>
        <w:trPr>
          <w:tblHeader/>
        </w:trPr>
        <w:tc>
          <w:tcPr>
            <w:tcW w:type="dxa" w:w="240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Size band</w:t>
            </w:r>
          </w:p>
        </w:tc>
        <w:tc>
          <w:tcPr>
            <w:tcW w:type="dxa" w:w="6626"/>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Common starting points</w:t>
            </w:r>
          </w:p>
        </w:tc>
      </w:tr>
      <w:tr>
        <w:tc>
          <w:tcPr>
            <w:tcW w:type="dxa" w:w="24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Micro / small (≤£10m)</w:t>
            </w:r>
          </w:p>
        </w:tc>
        <w:tc>
          <w:tcPr>
            <w:tcW w:type="dxa" w:w="66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Eque2 Construction Manager / Construct for Sage; Xero or Sage 50 + CIS; Site Samurai</w:t>
            </w:r>
          </w:p>
        </w:tc>
      </w:tr>
      <w:tr>
        <w:tc>
          <w:tcPr>
            <w:tcW w:type="dxa" w:w="24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Medium (£10–£50m)</w:t>
            </w:r>
          </w:p>
        </w:tc>
        <w:tc>
          <w:tcPr>
            <w:tcW w:type="dxa" w:w="66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Eque2 Construct for Sage; Integrity Evolution; Sage 200; Acumatica; Access Coins</w:t>
            </w:r>
          </w:p>
        </w:tc>
      </w:tr>
      <w:tr>
        <w:tc>
          <w:tcPr>
            <w:tcW w:type="dxa" w:w="24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Large (£50–£250m)</w:t>
            </w:r>
          </w:p>
        </w:tc>
        <w:tc>
          <w:tcPr>
            <w:tcW w:type="dxa" w:w="66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Access Coins Evo / COINS; Trimble Viewpoint; Eque2 EVision (D365 BC)</w:t>
            </w:r>
          </w:p>
        </w:tc>
      </w:tr>
      <w:tr>
        <w:tc>
          <w:tcPr>
            <w:tcW w:type="dxa" w:w="24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Enterprise / Tier 1 (£250m+)</w:t>
            </w:r>
          </w:p>
        </w:tc>
        <w:tc>
          <w:tcPr>
            <w:tcW w:type="dxa" w:w="66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COINS; SAP S/4HANA; Oracle / IFS / Dynamics 365 F&amp;O</w:t>
            </w:r>
          </w:p>
        </w:tc>
      </w:tr>
    </w:tbl>
    <w:p>
      <w:r>
        <w:br w:type="page"/>
      </w:r>
    </w:p>
    <w:p>
      <w:pPr>
        <w:pStyle w:val="Heading1"/>
      </w:pPr>
      <w:r>
        <w:t xml:space="preserve">Chapter 1 — Is now the right time?</w:t>
      </w:r>
    </w:p>
    <w:p>
      <w:pPr>
        <w:spacing w:after="140" w:line="276"/>
      </w:pPr>
      <w:r>
        <w:t xml:space="preserve">ERP replacement is disruptive, so timing matters. For most UK contractors the question is no longer whether to modernise, but whether the pressures have built up enough to justify acting now. Six market forces are pushing the timing forward in 2026.</w:t>
      </w:r>
    </w:p>
    <w:p>
      <w:pPr>
        <w:pStyle w:val="Heading2"/>
      </w:pPr>
      <w:r>
        <w:t xml:space="preserve">1.1 The market drivers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rPr>
          <w:tblHeader/>
        </w:trPr>
        <w:tc>
          <w:tcPr>
            <w:tcW w:type="dxa" w:w="220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Driver</w:t>
            </w:r>
          </w:p>
        </w:tc>
        <w:tc>
          <w:tcPr>
            <w:tcW w:type="dxa" w:w="6826"/>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Why it raises the pressure to act</w:t>
            </w:r>
          </w:p>
        </w:tc>
      </w:tr>
      <w:tr>
        <w:tc>
          <w:tcPr>
            <w:tcW w:type="dxa" w:w="22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Building Safety Act 2022</w:t>
            </w:r>
          </w:p>
        </w:tc>
        <w:tc>
          <w:tcPr>
            <w:tcW w:type="dxa" w:w="68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The “golden thread” of building information demands document control, version history and audit trails that spreadsheets and legacy systems cannot reliably provide for higher-risk buildings.</w:t>
            </w:r>
          </w:p>
        </w:tc>
      </w:tr>
      <w:tr>
        <w:tc>
          <w:tcPr>
            <w:tcW w:type="dxa" w:w="22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CIS &amp; tax complexity</w:t>
            </w:r>
          </w:p>
        </w:tc>
        <w:tc>
          <w:tcPr>
            <w:tcW w:type="dxa" w:w="68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CIS verification and returns, the VAT Domestic Reverse Charge and Making Tax Digital all require a system that handles UK construction tax natively and digitally — with HMRC scrutiny unforgiving of errors.</w:t>
            </w:r>
          </w:p>
        </w:tc>
      </w:tr>
      <w:tr>
        <w:tc>
          <w:tcPr>
            <w:tcW w:type="dxa" w:w="22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Labour &amp; skills shortages</w:t>
            </w:r>
          </w:p>
        </w:tc>
        <w:tc>
          <w:tcPr>
            <w:tcW w:type="dxa" w:w="68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With back-office and site talent scarce and costly, automation is the practical route to doing more with the same headcount and removing manual re-keying.</w:t>
            </w:r>
          </w:p>
        </w:tc>
      </w:tr>
      <w:tr>
        <w:tc>
          <w:tcPr>
            <w:tcW w:type="dxa" w:w="22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Digital mandates &amp; client expectations</w:t>
            </w:r>
          </w:p>
        </w:tc>
        <w:tc>
          <w:tcPr>
            <w:tcW w:type="dxa" w:w="68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Main contractors and public clients increasingly expect BIM, common data environments and digital reporting; the direction of travel on e-invoicing reinforces this.</w:t>
            </w:r>
          </w:p>
        </w:tc>
      </w:tr>
      <w:tr>
        <w:tc>
          <w:tcPr>
            <w:tcW w:type="dxa" w:w="22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Margin pressure &amp; cost inflation</w:t>
            </w:r>
          </w:p>
        </w:tc>
        <w:tc>
          <w:tcPr>
            <w:tcW w:type="dxa" w:w="68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Thin margins on fixed-price work leave no room for cost surprises; real-time cost control has moved from a nice-to-have to a survival tool.</w:t>
            </w:r>
          </w:p>
        </w:tc>
      </w:tr>
      <w:tr>
        <w:tc>
          <w:tcPr>
            <w:tcW w:type="dxa" w:w="22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Cloud &amp; AI maturity</w:t>
            </w:r>
          </w:p>
        </w:tc>
        <w:tc>
          <w:tcPr>
            <w:tcW w:type="dxa" w:w="68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On-premise systems are ageing out; modern cloud platforms now embed AI for forecasting, coding and reporting, widening the gap with legacy tools.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9D4E0" w:sz="1"/>
              <w:left w:val="single" w:color="2E75B6" w:sz="18"/>
              <w:bottom w:val="single" w:color="C9D4E0" w:sz="1"/>
              <w:right w:val="single" w:color="C9D4E0" w:sz="1"/>
            </w:tcBorders>
            <w:shd w:fill="D9E2EC" w:val="clear"/>
            <w:tcMar>
              <w:top w:type="dxa" w:w="120"/>
              <w:left w:type="dxa" w:w="180"/>
              <w:bottom w:type="dxa" w:w="120"/>
              <w:right w:type="dxa" w:w="160"/>
            </w:tcMar>
          </w:tcPr>
          <w:p>
            <w:pPr>
              <w:spacing w:after="60"/>
            </w:pPr>
            <w:r>
              <w:rPr>
                <w:b/>
                <w:bCs/>
                <w:color w:val="1F3A5F"/>
                <w:sz w:val="19"/>
                <w:szCs w:val="19"/>
              </w:rPr>
              <w:t xml:space="preserve">2026 market trends shaping ERP choices</w:t>
            </w:r>
          </w:p>
          <w:p>
            <w:pPr>
              <w:spacing w:after="40" w:line="260"/>
            </w:pPr>
            <w:r>
              <w:rPr>
                <w:b/>
                <w:bCs/>
                <w:sz w:val="18"/>
                <w:szCs w:val="18"/>
              </w:rPr>
              <w:t xml:space="preserve">Cloud migration is accelerating.</w:t>
            </w:r>
            <w:r>
              <w:rPr>
                <w:sz w:val="18"/>
                <w:szCs w:val="18"/>
              </w:rPr>
              <w:t xml:space="preserve"> On-premise systems are ageing out; the new generation of construction ERP (Access Coins Evo, Eque2 EVision, Acumatica) is cloud-first, and most vendors are steering customers off legacy on-prem editions.</w:t>
            </w:r>
          </w:p>
          <w:p>
            <w:pPr>
              <w:spacing w:after="40" w:line="260"/>
            </w:pPr>
            <w:r>
              <w:rPr>
                <w:b/>
                <w:bCs/>
                <w:sz w:val="18"/>
                <w:szCs w:val="18"/>
              </w:rPr>
              <w:t xml:space="preserve">AI is moving into forecasting and CVR.</w:t>
            </w:r>
            <w:r>
              <w:rPr>
                <w:sz w:val="18"/>
                <w:szCs w:val="18"/>
              </w:rPr>
              <w:t xml:space="preserve"> Vendors are embedding AI for cost forecasting, anomaly detection, invoice automation and conversational reporting — Access’s Evo AI layer and Acumatica’s AI automation are early examples; expect this to become a standard selection criterion.</w:t>
            </w:r>
          </w:p>
          <w:p>
            <w:pPr>
              <w:spacing w:after="40" w:line="260"/>
            </w:pPr>
            <w:r>
              <w:rPr>
                <w:b/>
                <w:bCs/>
                <w:sz w:val="18"/>
                <w:szCs w:val="18"/>
              </w:rPr>
              <w:t xml:space="preserve">Integration with Procore and common data environments is increasingly expected.</w:t>
            </w:r>
            <w:r>
              <w:rPr>
                <w:sz w:val="18"/>
                <w:szCs w:val="18"/>
              </w:rPr>
              <w:t xml:space="preserve"> Main contractors and clients now assume project controls connect to finance; a credible platform should integrate cleanly with Procore, BIM/CDE tools and e-invoicing rather than stand alone.</w:t>
            </w:r>
          </w:p>
        </w:tc>
      </w:tr>
    </w:tbl>
    <w:p>
      <w:pPr>
        <w:pStyle w:val="Heading2"/>
      </w:pPr>
      <w:r>
        <w:t xml:space="preserve">1.2 Ten-question readiness self-assessment</w:t>
      </w:r>
    </w:p>
    <w:p>
      <w:pPr>
        <w:spacing w:after="140" w:line="276"/>
      </w:pPr>
      <w:r>
        <w:t xml:space="preserve">Add up the points for every question you answer “yes”. Two questions carry double weight — live cost visibility and late discovery of overspend — because they are the clearest signals that the status quo is costing you money. The total gives a quick read on how strong your case for change is.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600"/>
        <w:gridCol w:w="7626"/>
        <w:gridCol w:w="800"/>
      </w:tblGrid>
      <w:tr>
        <w:trPr>
          <w:tblHeader/>
        </w:trPr>
        <w:tc>
          <w:tcPr>
            <w:tcW w:type="dxa" w:w="60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w:t>
            </w:r>
          </w:p>
        </w:tc>
        <w:tc>
          <w:tcPr>
            <w:tcW w:type="dxa" w:w="7626"/>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Question (score the points shown for “yes”)</w:t>
            </w:r>
          </w:p>
        </w:tc>
        <w:tc>
          <w:tcPr>
            <w:tcW w:type="dxa" w:w="80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Points</w:t>
            </w:r>
          </w:p>
        </w:tc>
      </w:tr>
      <w:tr>
        <w:tc>
          <w:tcPr>
            <w:tcW w:type="dxa" w:w="6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1</w:t>
            </w:r>
          </w:p>
        </w:tc>
        <w:tc>
          <w:tcPr>
            <w:tcW w:type="dxa" w:w="76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Do you rely on spreadsheets or disconnected systems for job costing or cost-value reconciliation?</w:t>
            </w:r>
          </w:p>
        </w:tc>
        <w:tc>
          <w:tcPr>
            <w:tcW w:type="dxa" w:w="8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1</w:t>
            </w:r>
          </w:p>
        </w:tc>
      </w:tr>
      <w:tr>
        <w:tc>
          <w:tcPr>
            <w:tcW w:type="dxa" w:w="6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2</w:t>
            </w:r>
          </w:p>
        </w:tc>
        <w:tc>
          <w:tcPr>
            <w:tcW w:type="dxa" w:w="76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Is it hard to see live cost-to-complete and committed cost on every active contract today?</w:t>
            </w:r>
          </w:p>
        </w:tc>
        <w:tc>
          <w:tcPr>
            <w:tcW w:type="dxa" w:w="8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2</w:t>
            </w:r>
          </w:p>
        </w:tc>
      </w:tr>
      <w:tr>
        <w:tc>
          <w:tcPr>
            <w:tcW w:type="dxa" w:w="6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3</w:t>
            </w:r>
          </w:p>
        </w:tc>
        <w:tc>
          <w:tcPr>
            <w:tcW w:type="dxa" w:w="76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Do you handle CIS verification, deductions and monthly returns manually or in a generic system?</w:t>
            </w:r>
          </w:p>
        </w:tc>
        <w:tc>
          <w:tcPr>
            <w:tcW w:type="dxa" w:w="8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1</w:t>
            </w:r>
          </w:p>
        </w:tc>
      </w:tr>
      <w:tr>
        <w:tc>
          <w:tcPr>
            <w:tcW w:type="dxa" w:w="6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4</w:t>
            </w:r>
          </w:p>
        </w:tc>
        <w:tc>
          <w:tcPr>
            <w:tcW w:type="dxa" w:w="76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Are you ever unsure whether the VAT Domestic Reverse Charge is applied correctly on sales and purchases?</w:t>
            </w:r>
          </w:p>
        </w:tc>
        <w:tc>
          <w:tcPr>
            <w:tcW w:type="dxa" w:w="8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1</w:t>
            </w:r>
          </w:p>
        </w:tc>
      </w:tr>
      <w:tr>
        <w:tc>
          <w:tcPr>
            <w:tcW w:type="dxa" w:w="6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5</w:t>
            </w:r>
          </w:p>
        </w:tc>
        <w:tc>
          <w:tcPr>
            <w:tcW w:type="dxa" w:w="76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Do applications for payment, valuations and retentions live outside your finance system?</w:t>
            </w:r>
          </w:p>
        </w:tc>
        <w:tc>
          <w:tcPr>
            <w:tcW w:type="dxa" w:w="8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1</w:t>
            </w:r>
          </w:p>
        </w:tc>
      </w:tr>
      <w:tr>
        <w:tc>
          <w:tcPr>
            <w:tcW w:type="dxa" w:w="6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6</w:t>
            </w:r>
          </w:p>
        </w:tc>
        <w:tc>
          <w:tcPr>
            <w:tcW w:type="dxa" w:w="76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Does your site team re-key information the office has already entered (or vice versa)?</w:t>
            </w:r>
          </w:p>
        </w:tc>
        <w:tc>
          <w:tcPr>
            <w:tcW w:type="dxa" w:w="8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1</w:t>
            </w:r>
          </w:p>
        </w:tc>
      </w:tr>
      <w:tr>
        <w:tc>
          <w:tcPr>
            <w:tcW w:type="dxa" w:w="6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7</w:t>
            </w:r>
          </w:p>
        </w:tc>
        <w:tc>
          <w:tcPr>
            <w:tcW w:type="dxa" w:w="76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In the last 12 months, did a project’s overspend become visible only when it was too late to act?</w:t>
            </w:r>
          </w:p>
        </w:tc>
        <w:tc>
          <w:tcPr>
            <w:tcW w:type="dxa" w:w="8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2</w:t>
            </w:r>
          </w:p>
        </w:tc>
      </w:tr>
      <w:tr>
        <w:tc>
          <w:tcPr>
            <w:tcW w:type="dxa" w:w="6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8</w:t>
            </w:r>
          </w:p>
        </w:tc>
        <w:tc>
          <w:tcPr>
            <w:tcW w:type="dxa" w:w="76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Will the Building Safety Act “golden thread” or document-control duties affect your projects?</w:t>
            </w:r>
          </w:p>
        </w:tc>
        <w:tc>
          <w:tcPr>
            <w:tcW w:type="dxa" w:w="8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1</w:t>
            </w:r>
          </w:p>
        </w:tc>
      </w:tr>
      <w:tr>
        <w:tc>
          <w:tcPr>
            <w:tcW w:type="dxa" w:w="6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9</w:t>
            </w:r>
          </w:p>
        </w:tc>
        <w:tc>
          <w:tcPr>
            <w:tcW w:type="dxa" w:w="76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Are you planning growth, new entities or acquisitions your current system can’t scale to?</w:t>
            </w:r>
          </w:p>
        </w:tc>
        <w:tc>
          <w:tcPr>
            <w:tcW w:type="dxa" w:w="8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1</w:t>
            </w:r>
          </w:p>
        </w:tc>
      </w:tr>
      <w:tr>
        <w:tc>
          <w:tcPr>
            <w:tcW w:type="dxa" w:w="6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10</w:t>
            </w:r>
          </w:p>
        </w:tc>
        <w:tc>
          <w:tcPr>
            <w:tcW w:type="dxa" w:w="76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Do month-end close and management reporting take longer than they should?</w:t>
            </w:r>
          </w:p>
        </w:tc>
        <w:tc>
          <w:tcPr>
            <w:tcW w:type="dxa" w:w="8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1</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9D4E0" w:sz="1"/>
              <w:left w:val="single" w:color="2E75B6" w:sz="18"/>
              <w:bottom w:val="single" w:color="C9D4E0" w:sz="1"/>
              <w:right w:val="single" w:color="C9D4E0" w:sz="1"/>
            </w:tcBorders>
            <w:shd w:fill="D9E2EC" w:val="clear"/>
            <w:tcMar>
              <w:top w:type="dxa" w:w="120"/>
              <w:left w:type="dxa" w:w="180"/>
              <w:bottom w:type="dxa" w:w="120"/>
              <w:right w:type="dxa" w:w="160"/>
            </w:tcMar>
          </w:tcPr>
          <w:p>
            <w:pPr>
              <w:spacing w:after="60"/>
            </w:pPr>
            <w:r>
              <w:rPr>
                <w:b/>
                <w:bCs/>
                <w:color w:val="1F3A5F"/>
                <w:sz w:val="19"/>
                <w:szCs w:val="19"/>
              </w:rPr>
              <w:t xml:space="preserve">Scoring guide (out of 12)</w:t>
            </w:r>
          </w:p>
          <w:p>
            <w:pPr>
              <w:spacing w:after="40" w:line="260"/>
            </w:pPr>
            <w:r>
              <w:rPr>
                <w:b/>
                <w:bCs/>
                <w:sz w:val="18"/>
                <w:szCs w:val="18"/>
              </w:rPr>
              <w:t xml:space="preserve">0–4 — Low urgency.</w:t>
            </w:r>
            <w:r>
              <w:rPr>
                <w:sz w:val="18"/>
                <w:szCs w:val="18"/>
              </w:rPr>
              <w:t xml:space="preserve"> Optimise what you have; revisit in 6–12 months.</w:t>
            </w:r>
          </w:p>
          <w:p>
            <w:pPr>
              <w:spacing w:after="40" w:line="260"/>
            </w:pPr>
            <w:r>
              <w:rPr>
                <w:b/>
                <w:bCs/>
                <w:sz w:val="18"/>
                <w:szCs w:val="18"/>
              </w:rPr>
              <w:t xml:space="preserve">5–8 — Build the plan.</w:t>
            </w:r>
            <w:r>
              <w:rPr>
                <w:sz w:val="18"/>
                <w:szCs w:val="18"/>
              </w:rPr>
              <w:t xml:space="preserve"> A change is likely warranted; start defining requirements and budget now.</w:t>
            </w:r>
          </w:p>
          <w:p>
            <w:pPr>
              <w:spacing w:after="40" w:line="260"/>
            </w:pPr>
            <w:r>
              <w:rPr>
                <w:b/>
                <w:bCs/>
                <w:sz w:val="18"/>
                <w:szCs w:val="18"/>
              </w:rPr>
              <w:t xml:space="preserve">9–12 — Strong case to act.</w:t>
            </w:r>
            <w:r>
              <w:rPr>
                <w:sz w:val="18"/>
                <w:szCs w:val="18"/>
              </w:rPr>
              <w:t xml:space="preserve"> The cost and risk of the status quo are real; begin a structured selection (Chapter 6). Scoring 2 on either double-weighted question alone is a strong signal in its own right.</w:t>
            </w:r>
          </w:p>
        </w:tc>
      </w:tr>
    </w:tbl>
    <w:p>
      <w:r>
        <w:br w:type="page"/>
      </w:r>
    </w:p>
    <w:p>
      <w:pPr>
        <w:pStyle w:val="Heading1"/>
      </w:pPr>
      <w:r>
        <w:t xml:space="preserve">Chapter 2 — Core requirements every UK contractor must have</w:t>
      </w:r>
    </w:p>
    <w:p>
      <w:pPr>
        <w:spacing w:after="140" w:line="276"/>
      </w:pPr>
      <w:r>
        <w:t xml:space="preserve">UK construction operates in one of the most demanding regulatory and commercial environments of any industry. Generic ERP and standard accounting packages handle it poorly, which is why purpose-built or properly localised platforms dominate. The capabilities below are effectively mandatory; treat the compliance items as pass/fail gates.</w:t>
      </w:r>
    </w:p>
    <w:p>
      <w:pPr>
        <w:pStyle w:val="Heading2"/>
      </w:pPr>
      <w:r>
        <w:t xml:space="preserve">2.1 UK compliance non-negotiables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6426"/>
      </w:tblGrid>
      <w:tr>
        <w:trPr>
          <w:tblHeader/>
        </w:trPr>
        <w:tc>
          <w:tcPr>
            <w:tcW w:type="dxa" w:w="260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Requirement</w:t>
            </w:r>
          </w:p>
        </w:tc>
        <w:tc>
          <w:tcPr>
            <w:tcW w:type="dxa" w:w="6426"/>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What the system must do</w:t>
            </w:r>
          </w:p>
        </w:tc>
      </w:tr>
      <w:tr>
        <w:tc>
          <w:tcPr>
            <w:tcW w:type="dxa" w:w="26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Construction Industry Scheme (CIS)</w:t>
            </w:r>
          </w:p>
        </w:tc>
        <w:tc>
          <w:tcPr>
            <w:tcW w:type="dxa" w:w="64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Verify subcontractors with HMRC, apply 0% / 20% / 30% deductions, produce statements, file monthly returns, and cascade re-verification to in-flight payments.</w:t>
            </w:r>
          </w:p>
        </w:tc>
      </w:tr>
      <w:tr>
        <w:tc>
          <w:tcPr>
            <w:tcW w:type="dxa" w:w="26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VAT Domestic Reverse Charge</w:t>
            </w:r>
          </w:p>
        </w:tc>
        <w:tc>
          <w:tcPr>
            <w:tcW w:type="dxa" w:w="64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Identify reverse-charge supplies on sales and purchases, produce compliant invoices, and handle the interaction with CIS correctly.</w:t>
            </w:r>
          </w:p>
        </w:tc>
      </w:tr>
      <w:tr>
        <w:tc>
          <w:tcPr>
            <w:tcW w:type="dxa" w:w="26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CITB levy</w:t>
            </w:r>
          </w:p>
        </w:tc>
        <w:tc>
          <w:tcPr>
            <w:tcW w:type="dxa" w:w="64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Calculate the levy across both the PAYE wage bill and net CIS subcontractor payments.</w:t>
            </w:r>
          </w:p>
        </w:tc>
      </w:tr>
      <w:tr>
        <w:tc>
          <w:tcPr>
            <w:tcW w:type="dxa" w:w="26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Making Tax Digital (VAT)</w:t>
            </w:r>
          </w:p>
        </w:tc>
        <w:tc>
          <w:tcPr>
            <w:tcW w:type="dxa" w:w="64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Submit VAT digitally with a compliant digital audit trail.</w:t>
            </w:r>
          </w:p>
        </w:tc>
      </w:tr>
      <w:tr>
        <w:tc>
          <w:tcPr>
            <w:tcW w:type="dxa" w:w="26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Building Safety Act 2022</w:t>
            </w:r>
          </w:p>
        </w:tc>
        <w:tc>
          <w:tcPr>
            <w:tcW w:type="dxa" w:w="64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Support the golden thread: document control, version history, audit trails and reporting for higher-risk buildings.</w:t>
            </w:r>
          </w:p>
        </w:tc>
      </w:tr>
      <w:tr>
        <w:tc>
          <w:tcPr>
            <w:tcW w:type="dxa" w:w="26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H&amp;S &amp; workforce (CDM, RIDDOR, CSCS)</w:t>
            </w:r>
          </w:p>
        </w:tc>
        <w:tc>
          <w:tcPr>
            <w:tcW w:type="dxa" w:w="64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Integrate with or support incident reporting, CDM compliance tracking and operative qualification records.</w:t>
            </w:r>
          </w:p>
        </w:tc>
      </w:tr>
    </w:tbl>
    <w:p>
      <w:pPr>
        <w:pStyle w:val="Heading2"/>
      </w:pPr>
      <w:r>
        <w:t xml:space="preserve">2.2 Commercial and project-accounting must-haves</w:t>
      </w:r>
    </w:p>
    <w:p>
      <w:pPr>
        <w:spacing w:after="140" w:line="276"/>
      </w:pPr>
      <w:r>
        <w:t xml:space="preserve">The defining feature of construction ERP is that the contract — not the calendar month — is the unit of account. Insist on:</w:t>
      </w:r>
    </w:p>
    <w:p>
      <w:pPr>
        <w:pStyle w:val="ListParagraph"/>
        <w:numPr>
          <w:ilvl w:val="0"/>
          <w:numId w:val="2"/>
        </w:numPr>
        <w:spacing w:after="64" w:line="264"/>
      </w:pPr>
      <w:r>
        <w:rPr>
          <w:b/>
          <w:bCs/>
        </w:rPr>
        <w:t xml:space="preserve">Job / contract costing</w:t>
      </w:r>
      <w:r>
        <w:t xml:space="preserve"> with real-time cost-to-complete and committed cost by phase and category (labour, plant, materials, subcontractor, preliminaries).</w:t>
      </w:r>
    </w:p>
    <w:p>
      <w:pPr>
        <w:pStyle w:val="ListParagraph"/>
        <w:numPr>
          <w:ilvl w:val="0"/>
          <w:numId w:val="2"/>
        </w:numPr>
        <w:spacing w:after="64" w:line="264"/>
      </w:pPr>
      <w:r>
        <w:rPr>
          <w:b/>
          <w:bCs/>
        </w:rPr>
        <w:t xml:space="preserve">Applications for payment and valuations</w:t>
      </w:r>
      <w:r>
        <w:t xml:space="preserve"> under JCT, NEC and bespoke forms, with Pay Less Notice timing under the Construction Act 1996.</w:t>
      </w:r>
    </w:p>
    <w:p>
      <w:pPr>
        <w:pStyle w:val="ListParagraph"/>
        <w:numPr>
          <w:ilvl w:val="0"/>
          <w:numId w:val="2"/>
        </w:numPr>
        <w:spacing w:after="64" w:line="264"/>
      </w:pPr>
      <w:r>
        <w:rPr>
          <w:b/>
          <w:bCs/>
        </w:rPr>
        <w:t xml:space="preserve">Cost-Value Reconciliation (CVR)</w:t>
      </w:r>
      <w:r>
        <w:t xml:space="preserve"> — the monthly margin-truth discipline largely unique to UK/Irish construction.</w:t>
      </w:r>
    </w:p>
    <w:p>
      <w:pPr>
        <w:pStyle w:val="ListParagraph"/>
        <w:numPr>
          <w:ilvl w:val="0"/>
          <w:numId w:val="2"/>
        </w:numPr>
        <w:spacing w:after="64" w:line="264"/>
      </w:pPr>
      <w:r>
        <w:rPr>
          <w:b/>
          <w:bCs/>
        </w:rPr>
        <w:t xml:space="preserve">Retention management, variations / compensation events, subcontract orders and contra charges.</w:t>
      </w:r>
    </w:p>
    <w:p>
      <w:pPr>
        <w:pStyle w:val="ListParagraph"/>
        <w:numPr>
          <w:ilvl w:val="0"/>
          <w:numId w:val="2"/>
        </w:numPr>
        <w:spacing w:after="64" w:line="264"/>
      </w:pPr>
      <w:r>
        <w:rPr>
          <w:b/>
          <w:bCs/>
        </w:rPr>
        <w:t xml:space="preserve">WIP and revenue recognition</w:t>
      </w:r>
      <w:r>
        <w:t xml:space="preserve"> under FRS 102 Section 23 / IFRS 15, with multi-entity consolidation for groups.</w:t>
      </w:r>
    </w:p>
    <w:p>
      <w:pPr>
        <w:pStyle w:val="Heading2"/>
      </w:pPr>
      <w:r>
        <w:t xml:space="preserve">2.3 Operational must-haves</w:t>
      </w:r>
    </w:p>
    <w:p>
      <w:pPr>
        <w:pStyle w:val="ListParagraph"/>
        <w:numPr>
          <w:ilvl w:val="0"/>
          <w:numId w:val="2"/>
        </w:numPr>
        <w:spacing w:after="64" w:line="264"/>
      </w:pPr>
      <w:r>
        <w:rPr>
          <w:b/>
          <w:bCs/>
        </w:rPr>
        <w:t xml:space="preserve">Mobile field apps</w:t>
      </w:r>
      <w:r>
        <w:t xml:space="preserve"> that work offline on real sites — timesheets, daily reports, photos, approvals, plant and delivery records.</w:t>
      </w:r>
    </w:p>
    <w:p>
      <w:pPr>
        <w:pStyle w:val="ListParagraph"/>
        <w:numPr>
          <w:ilvl w:val="0"/>
          <w:numId w:val="2"/>
        </w:numPr>
        <w:spacing w:after="64" w:line="264"/>
      </w:pPr>
      <w:r>
        <w:rPr>
          <w:b/>
          <w:bCs/>
        </w:rPr>
        <w:t xml:space="preserve">Plant and equipment management</w:t>
      </w:r>
      <w:r>
        <w:t xml:space="preserve"> (owned and hired) with utilisation and on-site tracking.</w:t>
      </w:r>
    </w:p>
    <w:p>
      <w:pPr>
        <w:pStyle w:val="ListParagraph"/>
        <w:numPr>
          <w:ilvl w:val="0"/>
          <w:numId w:val="2"/>
        </w:numPr>
        <w:spacing w:after="64" w:line="264"/>
      </w:pPr>
      <w:r>
        <w:rPr>
          <w:b/>
          <w:bCs/>
        </w:rPr>
        <w:t xml:space="preserve">Procurement and supply chain</w:t>
      </w:r>
      <w:r>
        <w:t xml:space="preserve"> — call-off orders, goods-received notes, three-way matching.</w:t>
      </w:r>
    </w:p>
    <w:p>
      <w:pPr>
        <w:pStyle w:val="ListParagraph"/>
        <w:numPr>
          <w:ilvl w:val="0"/>
          <w:numId w:val="2"/>
        </w:numPr>
        <w:spacing w:after="64" w:line="264"/>
      </w:pPr>
      <w:r>
        <w:rPr>
          <w:b/>
          <w:bCs/>
        </w:rPr>
        <w:t xml:space="preserve">Document management</w:t>
      </w:r>
      <w:r>
        <w:t xml:space="preserve"> for drawings, specifications and building-safety records.</w:t>
      </w:r>
    </w:p>
    <w:p>
      <w:pPr>
        <w:pStyle w:val="ListParagraph"/>
        <w:numPr>
          <w:ilvl w:val="0"/>
          <w:numId w:val="2"/>
        </w:numPr>
        <w:spacing w:after="64" w:line="264"/>
      </w:pPr>
      <w:r>
        <w:rPr>
          <w:b/>
          <w:bCs/>
        </w:rPr>
        <w:t xml:space="preserve">Integration</w:t>
      </w:r>
      <w:r>
        <w:t xml:space="preserve"> with estimating, payroll, project-management hubs and banking — ideally without custom rebuilds.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9D4E0" w:sz="1"/>
              <w:left w:val="single" w:color="2E75B6" w:sz="18"/>
              <w:bottom w:val="single" w:color="C9D4E0" w:sz="1"/>
              <w:right w:val="single" w:color="C9D4E0" w:sz="1"/>
            </w:tcBorders>
            <w:shd w:fill="EAF1F8" w:val="clear"/>
            <w:tcMar>
              <w:top w:type="dxa" w:w="120"/>
              <w:left w:type="dxa" w:w="180"/>
              <w:bottom w:type="dxa" w:w="120"/>
              <w:right w:type="dxa" w:w="160"/>
            </w:tcMar>
          </w:tcPr>
          <w:p>
            <w:pPr>
              <w:spacing w:after="60"/>
            </w:pPr>
            <w:r>
              <w:rPr>
                <w:b/>
                <w:bCs/>
                <w:color w:val="1F3A5F"/>
                <w:sz w:val="19"/>
                <w:szCs w:val="19"/>
              </w:rPr>
              <w:t xml:space="preserve">The must-have checklist — use this in your RFP</w:t>
            </w:r>
          </w:p>
          <w:p>
            <w:pPr>
              <w:spacing w:after="40" w:line="260"/>
            </w:pPr>
            <w:r>
              <w:rPr>
                <w:sz w:val="18"/>
                <w:szCs w:val="18"/>
              </w:rPr>
              <w:t xml:space="preserve">Native CIS · Domestic Reverse Charge · CITB levy · MTD VAT · contract/job costing · cost-to-complete &amp; committed cost · applications for payment &amp; valuations · CVR · retentions · variations/CEs · subcontract management &amp; contra charges · WIP &amp; revenue recognition · multi-entity consolidation · plant management · procurement &amp; 3-way match · offline mobile field app · document control / golden thread · estimating &amp; payroll integration · reporting &amp; dashboards.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9D4E0" w:sz="1"/>
              <w:left w:val="single" w:color="2E75B6" w:sz="18"/>
              <w:bottom w:val="single" w:color="C9D4E0" w:sz="1"/>
              <w:right w:val="single" w:color="C9D4E0" w:sz="1"/>
            </w:tcBorders>
            <w:shd w:fill="D9E2EC" w:val="clear"/>
            <w:tcMar>
              <w:top w:type="dxa" w:w="120"/>
              <w:left w:type="dxa" w:w="180"/>
              <w:bottom w:type="dxa" w:w="120"/>
              <w:right w:type="dxa" w:w="160"/>
            </w:tcMar>
          </w:tcPr>
          <w:p>
            <w:pPr>
              <w:spacing w:after="60"/>
            </w:pPr>
            <w:r>
              <w:rPr>
                <w:b/>
                <w:bCs/>
                <w:color w:val="1F3A5F"/>
                <w:sz w:val="19"/>
                <w:szCs w:val="19"/>
              </w:rPr>
              <w:t xml:space="preserve">Selection consequence</w:t>
            </w:r>
          </w:p>
          <w:p>
            <w:pPr>
              <w:spacing w:after="40" w:line="260"/>
            </w:pPr>
            <w:r>
              <w:rPr>
                <w:sz w:val="18"/>
                <w:szCs w:val="18"/>
              </w:rPr>
              <w:t xml:space="preserve">If a platform cannot natively model the </w:t>
            </w:r>
            <w:r>
              <w:rPr>
                <w:b/>
                <w:bCs/>
                <w:sz w:val="18"/>
                <w:szCs w:val="18"/>
              </w:rPr>
              <w:t xml:space="preserve">application-for-payment cycle, CVR and retentions</w:t>
            </w:r>
            <w:r>
              <w:rPr>
                <w:sz w:val="18"/>
                <w:szCs w:val="18"/>
              </w:rPr>
              <w:t xml:space="preserve">, it is a finance system with a construction badge — not a construction ERP. For main contractors and subcontractors that is disqualifying; for pure service/maintenance operators it may not matter. Decide which camp you are in before you shortlist.</w:t>
            </w:r>
          </w:p>
        </w:tc>
      </w:tr>
    </w:tbl>
    <w:p>
      <w:r>
        <w:br w:type="page"/>
      </w:r>
    </w:p>
    <w:p>
      <w:pPr>
        <w:pStyle w:val="Heading1"/>
      </w:pPr>
      <w:r>
        <w:t xml:space="preserve">Chapter 3 — Segmenting the market: subsector and size</w:t>
      </w:r>
    </w:p>
    <w:p>
      <w:pPr>
        <w:spacing w:after="140" w:line="276"/>
      </w:pPr>
      <w:r>
        <w:t xml:space="preserve">Suitability is defined by the intersection of two axes: what your business does (subsector) and how big it is (size). A system that is excellent for one combination can be actively harmful for another. This chapter sets up the segmentation used throughout the rest of the guide.</w:t>
      </w:r>
    </w:p>
    <w:p>
      <w:pPr>
        <w:pStyle w:val="Heading2"/>
      </w:pPr>
      <w:r>
        <w:t xml:space="preserve">3.1 By subsector</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150"/>
        <w:gridCol w:w="3400"/>
        <w:gridCol w:w="3476"/>
      </w:tblGrid>
      <w:tr>
        <w:trPr>
          <w:tblHeader/>
        </w:trPr>
        <w:tc>
          <w:tcPr>
            <w:tcW w:type="dxa" w:w="215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Subsector</w:t>
            </w:r>
          </w:p>
        </w:tc>
        <w:tc>
          <w:tcPr>
            <w:tcW w:type="dxa" w:w="340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Operating model</w:t>
            </w:r>
          </w:p>
        </w:tc>
        <w:tc>
          <w:tcPr>
            <w:tcW w:type="dxa" w:w="3476"/>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Dominant ERP need</w:t>
            </w:r>
          </w:p>
        </w:tc>
      </w:tr>
      <w:tr>
        <w:tc>
          <w:tcPr>
            <w:tcW w:type="dxa" w:w="21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Main contracting (building)</w:t>
            </w:r>
          </w:p>
        </w:tc>
        <w:tc>
          <w:tcPr>
            <w:tcW w:type="dxa" w:w="34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Multi-trade delivery; heavy subcontractor supply chain; JCT/NEC.</w:t>
            </w:r>
          </w:p>
        </w:tc>
        <w:tc>
          <w:tcPr>
            <w:tcW w:type="dxa" w:w="347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Subcontract management, AfP/valuations, CVR, contract reporting.</w:t>
            </w:r>
          </w:p>
        </w:tc>
      </w:tr>
      <w:tr>
        <w:tc>
          <w:tcPr>
            <w:tcW w:type="dxa" w:w="21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Civil engineering &amp; infrastructure</w:t>
            </w:r>
          </w:p>
        </w:tc>
        <w:tc>
          <w:tcPr>
            <w:tcW w:type="dxa" w:w="34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Large, long NEC projects; JVs; self-delivery + plant.</w:t>
            </w:r>
          </w:p>
        </w:tc>
        <w:tc>
          <w:tcPr>
            <w:tcW w:type="dxa" w:w="347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NEC handling, earned value, plant, multi-entity/JV accounting, scale.</w:t>
            </w:r>
          </w:p>
        </w:tc>
      </w:tr>
      <w:tr>
        <w:tc>
          <w:tcPr>
            <w:tcW w:type="dxa" w:w="21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Housebuilding / residential development</w:t>
            </w:r>
          </w:p>
        </w:tc>
        <w:tc>
          <w:tcPr>
            <w:tcW w:type="dxa" w:w="34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Land-led; unit sales; long cash cycles; build + sales + care.</w:t>
            </w:r>
          </w:p>
        </w:tc>
        <w:tc>
          <w:tcPr>
            <w:tcW w:type="dxa" w:w="347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Land appraisal, plot/unit costing, sales &amp; CRM, customer care.</w:t>
            </w:r>
          </w:p>
        </w:tc>
      </w:tr>
      <w:tr>
        <w:tc>
          <w:tcPr>
            <w:tcW w:type="dxa" w:w="21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Specialist &amp; M&amp;E subcontracting</w:t>
            </w:r>
          </w:p>
        </w:tc>
        <w:tc>
          <w:tcPr>
            <w:tcW w:type="dxa" w:w="34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Package delivery to main contractors; recurring service revenue.</w:t>
            </w:r>
          </w:p>
        </w:tc>
        <w:tc>
          <w:tcPr>
            <w:tcW w:type="dxa" w:w="347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CIS, AfP issuing, labour/plant allocation, often + field service.</w:t>
            </w:r>
          </w:p>
        </w:tc>
      </w:tr>
      <w:tr>
        <w:tc>
          <w:tcPr>
            <w:tcW w:type="dxa" w:w="21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Fit-out, interiors &amp; SME building</w:t>
            </w:r>
          </w:p>
        </w:tc>
        <w:tc>
          <w:tcPr>
            <w:tcW w:type="dxa" w:w="34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Shorter projects; tighter margins; leaner back office.</w:t>
            </w:r>
          </w:p>
        </w:tc>
        <w:tc>
          <w:tcPr>
            <w:tcW w:type="dxa" w:w="347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Affordable job costing, CIS, Sage/Xero integration, ease of use.</w:t>
            </w:r>
          </w:p>
        </w:tc>
      </w:tr>
      <w:tr>
        <w:tc>
          <w:tcPr>
            <w:tcW w:type="dxa" w:w="21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Maintenance, FM &amp; reactive service</w:t>
            </w:r>
          </w:p>
        </w:tc>
        <w:tc>
          <w:tcPr>
            <w:tcW w:type="dxa" w:w="34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High job volume; PPM contracts; mobile workforce; assets.</w:t>
            </w:r>
          </w:p>
        </w:tc>
        <w:tc>
          <w:tcPr>
            <w:tcW w:type="dxa" w:w="347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Field-service scheduling, mobile app, asset/PPM, certificates.</w:t>
            </w:r>
          </w:p>
        </w:tc>
      </w:tr>
      <w:tr>
        <w:tc>
          <w:tcPr>
            <w:tcW w:type="dxa" w:w="21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Plant hire</w:t>
            </w:r>
          </w:p>
        </w:tc>
        <w:tc>
          <w:tcPr>
            <w:tcW w:type="dxa" w:w="34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Asset utilisation; hire desk; cross-hire; depreciation.</w:t>
            </w:r>
          </w:p>
        </w:tc>
        <w:tc>
          <w:tcPr>
            <w:tcW w:type="dxa" w:w="347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Hire management, asset tracking, utilisation, rental billing.</w:t>
            </w:r>
          </w:p>
        </w:tc>
      </w:tr>
    </w:tbl>
    <w:p>
      <w:pPr>
        <w:spacing w:after="140" w:line="276"/>
      </w:pPr>
      <w:r>
        <w:rPr>
          <w:color w:val="5B6B7B"/>
          <w:sz w:val="19"/>
          <w:szCs w:val="19"/>
        </w:rPr>
        <w:t xml:space="preserve">Groups that straddle several subsectors — a contractor with a maintenance arm, or a housebuilder with a contracting division — should prefer the modular construction-native platforms (COINS, Access Coins, Eque2/Dynamics, Trimble Viewpoint) or a deliberate best-of-breed design with tested integration.</w:t>
      </w:r>
    </w:p>
    <w:p>
      <w:pPr>
        <w:pStyle w:val="Heading2"/>
      </w:pPr>
      <w:r>
        <w:t xml:space="preserve">3.2 By organisation size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900"/>
        <w:gridCol w:w="2700"/>
        <w:gridCol w:w="4426"/>
      </w:tblGrid>
      <w:tr>
        <w:trPr>
          <w:tblHeader/>
        </w:trPr>
        <w:tc>
          <w:tcPr>
            <w:tcW w:type="dxa" w:w="190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Size band</w:t>
            </w:r>
          </w:p>
        </w:tc>
        <w:tc>
          <w:tcPr>
            <w:tcW w:type="dxa" w:w="270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Typical turnover / headcount</w:t>
            </w:r>
          </w:p>
        </w:tc>
        <w:tc>
          <w:tcPr>
            <w:tcW w:type="dxa" w:w="4426"/>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ERP tier &amp; typical posture</w:t>
            </w:r>
          </w:p>
        </w:tc>
      </w:tr>
      <w:tr>
        <w:tc>
          <w:tcPr>
            <w:tcW w:type="dxa" w:w="19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Micro / small</w:t>
            </w:r>
          </w:p>
        </w:tc>
        <w:tc>
          <w:tcPr>
            <w:tcW w:type="dxa" w:w="27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Up to ~£10m / up to ~50 staff</w:t>
            </w:r>
          </w:p>
        </w:tc>
        <w:tc>
          <w:tcPr>
            <w:tcW w:type="dxa" w:w="44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Entry job-costing on Sage/Xero, or a light cloud platform. Speed and simplicity over depth.</w:t>
            </w:r>
          </w:p>
        </w:tc>
      </w:tr>
      <w:tr>
        <w:tc>
          <w:tcPr>
            <w:tcW w:type="dxa" w:w="19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Medium</w:t>
            </w:r>
          </w:p>
        </w:tc>
        <w:tc>
          <w:tcPr>
            <w:tcW w:type="dxa" w:w="27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~£10m–£50m / ~50–250 staff</w:t>
            </w:r>
          </w:p>
        </w:tc>
        <w:tc>
          <w:tcPr>
            <w:tcW w:type="dxa" w:w="44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Construction-specific mid-market ERP — the richest, most competitive part of the UK market.</w:t>
            </w:r>
          </w:p>
        </w:tc>
      </w:tr>
      <w:tr>
        <w:tc>
          <w:tcPr>
            <w:tcW w:type="dxa" w:w="19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Large</w:t>
            </w:r>
          </w:p>
        </w:tc>
        <w:tc>
          <w:tcPr>
            <w:tcW w:type="dxa" w:w="27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~£50m–£250m / ~250–1,000 staff</w:t>
            </w:r>
          </w:p>
        </w:tc>
        <w:tc>
          <w:tcPr>
            <w:tcW w:type="dxa" w:w="44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Full construction ERP or localised tier-1 platform; multi-entity; formal IT function.</w:t>
            </w:r>
          </w:p>
        </w:tc>
      </w:tr>
      <w:tr>
        <w:tc>
          <w:tcPr>
            <w:tcW w:type="dxa" w:w="19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Enterprise / Tier 1</w:t>
            </w:r>
          </w:p>
        </w:tc>
        <w:tc>
          <w:tcPr>
            <w:tcW w:type="dxa" w:w="27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£250m+ / 1,000+ staff</w:t>
            </w:r>
          </w:p>
        </w:tc>
        <w:tc>
          <w:tcPr>
            <w:tcW w:type="dxa" w:w="44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Enterprise ERP (SAP, Oracle, IFS, D365 F&amp;O) or COINS at scale; multi-year programmes.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9D4E0" w:sz="1"/>
              <w:left w:val="single" w:color="2E75B6" w:sz="18"/>
              <w:bottom w:val="single" w:color="C9D4E0" w:sz="1"/>
              <w:right w:val="single" w:color="C9D4E0" w:sz="1"/>
            </w:tcBorders>
            <w:shd w:fill="EAF1F8" w:val="clear"/>
            <w:tcMar>
              <w:top w:type="dxa" w:w="120"/>
              <w:left w:type="dxa" w:w="180"/>
              <w:bottom w:type="dxa" w:w="120"/>
              <w:right w:type="dxa" w:w="160"/>
            </w:tcMar>
          </w:tcPr>
          <w:p>
            <w:pPr>
              <w:spacing w:after="60"/>
            </w:pPr>
            <w:r>
              <w:rPr>
                <w:b/>
                <w:bCs/>
                <w:color w:val="1F3A5F"/>
                <w:sz w:val="19"/>
                <w:szCs w:val="19"/>
              </w:rPr>
              <w:t xml:space="preserve">Implementation timelines by size</w:t>
            </w:r>
          </w:p>
          <w:p>
            <w:pPr>
              <w:spacing w:after="40" w:line="260"/>
            </w:pPr>
            <w:r>
              <w:rPr>
                <w:b/>
                <w:bCs/>
                <w:sz w:val="18"/>
                <w:szCs w:val="18"/>
              </w:rPr>
              <w:t xml:space="preserve">Micro/small:</w:t>
            </w:r>
            <w:r>
              <w:rPr>
                <w:sz w:val="18"/>
                <w:szCs w:val="18"/>
              </w:rPr>
              <w:t xml:space="preserve"> 1–3 months · </w:t>
            </w:r>
            <w:r>
              <w:rPr>
                <w:b/>
                <w:bCs/>
                <w:sz w:val="18"/>
                <w:szCs w:val="18"/>
              </w:rPr>
              <w:t xml:space="preserve">Medium:</w:t>
            </w:r>
            <w:r>
              <w:rPr>
                <w:sz w:val="18"/>
                <w:szCs w:val="18"/>
              </w:rPr>
              <w:t xml:space="preserve"> 4–9 months · </w:t>
            </w:r>
            <w:r>
              <w:rPr>
                <w:b/>
                <w:bCs/>
                <w:sz w:val="18"/>
                <w:szCs w:val="18"/>
              </w:rPr>
              <w:t xml:space="preserve">Large:</w:t>
            </w:r>
            <w:r>
              <w:rPr>
                <w:sz w:val="18"/>
                <w:szCs w:val="18"/>
              </w:rPr>
              <w:t xml:space="preserve"> 9–18 months · </w:t>
            </w:r>
            <w:r>
              <w:rPr>
                <w:b/>
                <w:bCs/>
                <w:sz w:val="18"/>
                <w:szCs w:val="18"/>
              </w:rPr>
              <w:t xml:space="preserve">Enterprise/Tier 1:</w:t>
            </w:r>
            <w:r>
              <w:rPr>
                <w:sz w:val="18"/>
                <w:szCs w:val="18"/>
              </w:rPr>
              <w:t xml:space="preserve"> 18–36 months. CIS configuration and testing typically adds 2–4 weeks regardless of band.</w:t>
            </w:r>
          </w:p>
        </w:tc>
      </w:tr>
    </w:tbl>
    <w:p>
      <w:r>
        <w:br w:type="page"/>
      </w:r>
    </w:p>
    <w:p>
      <w:pPr>
        <w:pStyle w:val="Heading1"/>
      </w:pPr>
      <w:r>
        <w:t xml:space="preserve">Chapter 4 — Detailed vendor comparison matrix (2026)</w:t>
      </w:r>
    </w:p>
    <w:p>
      <w:pPr>
        <w:spacing w:after="140" w:line="276"/>
      </w:pPr>
      <w:r>
        <w:t xml:space="preserve">The matrix below covers the operators most frequently shortlisted by UK contractors. It is split into two parts for readability: Part A covers fit and positioning; Part B covers cost and technical scores. Ratings are indicative editorial assessments for buyer guidance, not laboratory measurements — always verify against your own requirements.</w:t>
      </w:r>
    </w:p>
    <w:p>
      <w:pPr>
        <w:spacing w:after="140" w:line="276"/>
      </w:pPr>
      <w:r>
        <w:rPr>
          <w:color w:val="5B6B7B"/>
          <w:sz w:val="18"/>
          <w:szCs w:val="18"/>
        </w:rPr>
        <w:t xml:space="preserve">Scale for support / mobile / integration:</w:t>
      </w:r>
      <w:r>
        <w:rPr>
          <w:color w:val="5B6B7B"/>
          <w:sz w:val="18"/>
          <w:szCs w:val="18"/>
        </w:rPr>
        <w:t xml:space="preserve"> Strong &gt; Good &gt; Moderate. “Native” means built-in UK construction tax handling; “via add-on/config” means delivered through a partner ISV or configuration.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9D4E0" w:sz="1"/>
              <w:left w:val="single" w:color="2E75B6" w:sz="18"/>
              <w:bottom w:val="single" w:color="C9D4E0" w:sz="1"/>
              <w:right w:val="single" w:color="C9D4E0" w:sz="1"/>
            </w:tcBorders>
            <w:shd w:fill="EAF1F8" w:val="clear"/>
            <w:tcMar>
              <w:top w:type="dxa" w:w="120"/>
              <w:left w:type="dxa" w:w="180"/>
              <w:bottom w:type="dxa" w:w="120"/>
              <w:right w:type="dxa" w:w="160"/>
            </w:tcMar>
          </w:tcPr>
          <w:p>
            <w:pPr>
              <w:spacing w:after="60"/>
            </w:pPr>
            <w:r>
              <w:rPr>
                <w:b/>
                <w:bCs/>
                <w:color w:val="1F3A5F"/>
                <w:sz w:val="19"/>
                <w:szCs w:val="19"/>
              </w:rPr>
              <w:t xml:space="preserve">A note on naming: Access Coins Evo and COINS</w:t>
            </w:r>
          </w:p>
          <w:p>
            <w:pPr>
              <w:spacing w:after="40" w:line="260"/>
            </w:pPr>
            <w:r>
              <w:rPr>
                <w:b/>
                <w:bCs/>
                <w:sz w:val="18"/>
                <w:szCs w:val="18"/>
              </w:rPr>
              <w:t xml:space="preserve">COINS</w:t>
            </w:r>
            <w:r>
              <w:rPr>
                <w:sz w:val="18"/>
                <w:szCs w:val="18"/>
              </w:rPr>
              <w:t xml:space="preserve"> (Construction Industry Solutions, founded 1985) was acquired by The Access Group in December 2022 and is now delivered as the cloud platform </w:t>
            </w:r>
            <w:r>
              <w:rPr>
                <w:b/>
                <w:bCs/>
                <w:sz w:val="18"/>
                <w:szCs w:val="18"/>
              </w:rPr>
              <w:t xml:space="preserve">Access Coins Evo</w:t>
            </w:r>
            <w:r>
              <w:rPr>
                <w:sz w:val="18"/>
                <w:szCs w:val="18"/>
              </w:rPr>
              <w:t xml:space="preserve">, with an AI layer (Access Evo) and integrated mobile project management. They share the same lineage and codebase heritage. In this guide, “Access Coins Evo” refers to the current cloud product and “COINS” to the established platform and its large/enterprise deployments; where both appear, they reflect the same vendor at different points of its evolution.</w:t>
            </w:r>
          </w:p>
        </w:tc>
      </w:tr>
    </w:tbl>
    <w:p>
      <w:pPr>
        <w:pStyle w:val="Heading2"/>
      </w:pPr>
      <w:r>
        <w:t xml:space="preserve">4.1 Part A — fit and positioning</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40"/>
        <w:gridCol w:w="1500"/>
        <w:gridCol w:w="2943"/>
        <w:gridCol w:w="2943"/>
      </w:tblGrid>
      <w:tr>
        <w:trPr>
          <w:tblHeader/>
        </w:trPr>
        <w:tc>
          <w:tcPr>
            <w:tcW w:type="dxa" w:w="164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Vendor / product</w:t>
            </w:r>
          </w:p>
        </w:tc>
        <w:tc>
          <w:tcPr>
            <w:tcW w:type="dxa" w:w="150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Best-suited size</w:t>
            </w:r>
          </w:p>
        </w:tc>
        <w:tc>
          <w:tcPr>
            <w:tcW w:type="dxa" w:w="2943"/>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Key strengths</w:t>
            </w:r>
          </w:p>
        </w:tc>
        <w:tc>
          <w:tcPr>
            <w:tcW w:type="dxa" w:w="2943"/>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Key watch-outs</w:t>
            </w:r>
          </w:p>
        </w:tc>
      </w:tr>
      <w:tr>
        <w:tc>
          <w:tcPr>
            <w:tcW w:type="dxa" w:w="164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Access Coins Evo</w:t>
            </w:r>
          </w:p>
        </w:tc>
        <w:tc>
          <w:tcPr>
            <w:tcW w:type="dxa" w:w="15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Mid–enterprise</w:t>
            </w:r>
          </w:p>
        </w:tc>
        <w:tc>
          <w:tcPr>
            <w:tcW w:type="dxa" w:w="2943"/>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Construction-native; vendor-led implementation; integrated payroll, field &amp; AI layer; native CIS/DRC/CITB.</w:t>
            </w:r>
          </w:p>
        </w:tc>
        <w:tc>
          <w:tcPr>
            <w:tcW w:type="dxa" w:w="2943"/>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Premium cost; heavier implementation; over-specified for micro/small firms.</w:t>
            </w:r>
          </w:p>
        </w:tc>
      </w:tr>
      <w:tr>
        <w:tc>
          <w:tcPr>
            <w:tcW w:type="dxa" w:w="164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COINS</w:t>
            </w:r>
          </w:p>
        </w:tc>
        <w:tc>
          <w:tcPr>
            <w:tcW w:type="dxa" w:w="15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Large / Tier 1</w:t>
            </w:r>
          </w:p>
        </w:tc>
        <w:tc>
          <w:tcPr>
            <w:tcW w:type="dxa" w:w="2943"/>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Deepest UK main-contractor &amp; housebuilder functionality; native UK tax; proven at scale.</w:t>
            </w:r>
          </w:p>
        </w:tc>
        <w:tc>
          <w:tcPr>
            <w:tcW w:type="dxa" w:w="2943"/>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Narrower vendor; UI less modern; cost and complexity.</w:t>
            </w:r>
          </w:p>
        </w:tc>
      </w:tr>
      <w:tr>
        <w:tc>
          <w:tcPr>
            <w:tcW w:type="dxa" w:w="164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Sage 200 / Sage Construction</w:t>
            </w:r>
          </w:p>
        </w:tc>
        <w:tc>
          <w:tcPr>
            <w:tcW w:type="dxa" w:w="15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Small–mid</w:t>
            </w:r>
          </w:p>
        </w:tc>
        <w:tc>
          <w:tcPr>
            <w:tcW w:type="dxa" w:w="2943"/>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Largest UK accounting base; native CIS &amp; DRC; affordable; vast partner network.</w:t>
            </w:r>
          </w:p>
        </w:tc>
        <w:tc>
          <w:tcPr>
            <w:tcW w:type="dxa" w:w="2943"/>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Project/commercial depth needs add-ons; Sage 200 not fully cloud-native.</w:t>
            </w:r>
          </w:p>
        </w:tc>
      </w:tr>
      <w:tr>
        <w:tc>
          <w:tcPr>
            <w:tcW w:type="dxa" w:w="164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Dynamics 365 BC + construction ISVs</w:t>
            </w:r>
          </w:p>
        </w:tc>
        <w:tc>
          <w:tcPr>
            <w:tcW w:type="dxa" w:w="15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Mid–large</w:t>
            </w:r>
          </w:p>
        </w:tc>
        <w:tc>
          <w:tcPr>
            <w:tcW w:type="dxa" w:w="2943"/>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Modern cloud; Microsoft 365 / Power BI; scalable; construction via Eque2, Sicon, NB Projects.</w:t>
            </w:r>
          </w:p>
        </w:tc>
        <w:tc>
          <w:tcPr>
            <w:tcW w:type="dxa" w:w="2943"/>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CIS/DRC/CITB via add-on, not native; quality depends on the ISV and partner.</w:t>
            </w:r>
          </w:p>
        </w:tc>
      </w:tr>
      <w:tr>
        <w:tc>
          <w:tcPr>
            <w:tcW w:type="dxa" w:w="164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Eque2 (Construct / EVision)</w:t>
            </w:r>
          </w:p>
        </w:tc>
        <w:tc>
          <w:tcPr>
            <w:tcW w:type="dxa" w:w="15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Small–large (£1m–£1bn)</w:t>
            </w:r>
          </w:p>
        </w:tc>
        <w:tc>
          <w:tcPr>
            <w:tcW w:type="dxa" w:w="2943"/>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UK construction specialist that scales across bands; strong subcontract/CVR; Sage + D365 foundations.</w:t>
            </w:r>
          </w:p>
        </w:tc>
        <w:tc>
          <w:tcPr>
            <w:tcW w:type="dxa" w:w="2943"/>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Two product lines (a migration step as you grow); estimating is a separate product.</w:t>
            </w:r>
          </w:p>
        </w:tc>
      </w:tr>
      <w:tr>
        <w:tc>
          <w:tcPr>
            <w:tcW w:type="dxa" w:w="164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Causeway</w:t>
            </w:r>
          </w:p>
        </w:tc>
        <w:tc>
          <w:tcPr>
            <w:tcW w:type="dxa" w:w="15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Mid–large</w:t>
            </w:r>
          </w:p>
        </w:tc>
        <w:tc>
          <w:tcPr>
            <w:tcW w:type="dxa" w:w="2943"/>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Estimating + commercial-management depth; strong in QS workflows and civils.</w:t>
            </w:r>
          </w:p>
        </w:tc>
        <w:tc>
          <w:tcPr>
            <w:tcW w:type="dxa" w:w="2943"/>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More commercial management than full finance ERP; finance integration often custom.</w:t>
            </w:r>
          </w:p>
        </w:tc>
      </w:tr>
      <w:tr>
        <w:tc>
          <w:tcPr>
            <w:tcW w:type="dxa" w:w="164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Acumatica Construction Edition</w:t>
            </w:r>
          </w:p>
        </w:tc>
        <w:tc>
          <w:tcPr>
            <w:tcW w:type="dxa" w:w="15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Mid-market</w:t>
            </w:r>
          </w:p>
        </w:tc>
        <w:tc>
          <w:tcPr>
            <w:tcW w:type="dxa" w:w="2943"/>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True cloud; unlimited-user consumption pricing; strong mobile; modern UX; open APIs.</w:t>
            </w:r>
          </w:p>
        </w:tc>
        <w:tc>
          <w:tcPr>
            <w:tcW w:type="dxa" w:w="2943"/>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US-origin — CIS/DRC/CITB via UK partner localisation; smaller UK partner base.</w:t>
            </w:r>
          </w:p>
        </w:tc>
      </w:tr>
      <w:tr>
        <w:tc>
          <w:tcPr>
            <w:tcW w:type="dxa" w:w="164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Trimble Viewpoint (Vista / Spectrum)</w:t>
            </w:r>
          </w:p>
        </w:tc>
        <w:tc>
          <w:tcPr>
            <w:tcW w:type="dxa" w:w="15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Mid–enterprise</w:t>
            </w:r>
          </w:p>
        </w:tc>
        <w:tc>
          <w:tcPr>
            <w:tcW w:type="dxa" w:w="2943"/>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Deep job-cost &amp; operations; mature; strong field-to-office.</w:t>
            </w:r>
          </w:p>
        </w:tc>
        <w:tc>
          <w:tcPr>
            <w:tcW w:type="dxa" w:w="2943"/>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Implementation heavy and costly; parts of the UI are legacy; US heritage.</w:t>
            </w:r>
          </w:p>
        </w:tc>
      </w:tr>
      <w:tr>
        <w:tc>
          <w:tcPr>
            <w:tcW w:type="dxa" w:w="164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IFS Cloud</w:t>
            </w:r>
          </w:p>
        </w:tc>
        <w:tc>
          <w:tcPr>
            <w:tcW w:type="dxa" w:w="15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Large / Tier 1</w:t>
            </w:r>
          </w:p>
        </w:tc>
        <w:tc>
          <w:tcPr>
            <w:tcW w:type="dxa" w:w="2943"/>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Project + asset lifecycle; UK-headquartered; engineering depth.</w:t>
            </w:r>
          </w:p>
        </w:tc>
        <w:tc>
          <w:tcPr>
            <w:tcW w:type="dxa" w:w="2943"/>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Enterprise cost and complexity; CIS via configuration.</w:t>
            </w:r>
          </w:p>
        </w:tc>
      </w:tr>
      <w:tr>
        <w:tc>
          <w:tcPr>
            <w:tcW w:type="dxa" w:w="164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Oracle NetSuite</w:t>
            </w:r>
          </w:p>
        </w:tc>
        <w:tc>
          <w:tcPr>
            <w:tcW w:type="dxa" w:w="15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Mid–large</w:t>
            </w:r>
          </w:p>
        </w:tc>
        <w:tc>
          <w:tcPr>
            <w:tcW w:type="dxa" w:w="2943"/>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Unified cloud; strong multi-entity; growing construction ecosystem.</w:t>
            </w:r>
          </w:p>
        </w:tc>
        <w:tc>
          <w:tcPr>
            <w:tcW w:type="dxa" w:w="2943"/>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Not construction-native; CIS/DRC via add-on/config.</w:t>
            </w:r>
          </w:p>
        </w:tc>
      </w:tr>
      <w:tr>
        <w:tc>
          <w:tcPr>
            <w:tcW w:type="dxa" w:w="164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SAP S/4HANA</w:t>
            </w:r>
          </w:p>
        </w:tc>
        <w:tc>
          <w:tcPr>
            <w:tcW w:type="dxa" w:w="15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Tier 1</w:t>
            </w:r>
          </w:p>
        </w:tc>
        <w:tc>
          <w:tcPr>
            <w:tcW w:type="dxa" w:w="2943"/>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Enterprise scale; consolidation and supply chain; used by FTSE-scale contractors.</w:t>
            </w:r>
          </w:p>
        </w:tc>
        <w:tc>
          <w:tcPr>
            <w:tcW w:type="dxa" w:w="2943"/>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Very high cost/complexity; construction via config; long programmes.</w:t>
            </w:r>
          </w:p>
        </w:tc>
      </w:tr>
      <w:tr>
        <w:tc>
          <w:tcPr>
            <w:tcW w:type="dxa" w:w="164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Procore (+ finance ERP)</w:t>
            </w:r>
          </w:p>
        </w:tc>
        <w:tc>
          <w:tcPr>
            <w:tcW w:type="dxa" w:w="15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Mid–enterprise</w:t>
            </w:r>
          </w:p>
        </w:tc>
        <w:tc>
          <w:tcPr>
            <w:tcW w:type="dxa" w:w="2943"/>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Best-in-class site-to-office project controls; 100+ accounting integrations; onboarding included.</w:t>
            </w:r>
          </w:p>
        </w:tc>
        <w:tc>
          <w:tcPr>
            <w:tcW w:type="dxa" w:w="2943"/>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Not a finance ERP — needs an accounting backbone; subscription premium.</w:t>
            </w:r>
          </w:p>
        </w:tc>
      </w:tr>
    </w:tbl>
    <w:p>
      <w:pPr>
        <w:pStyle w:val="Heading2"/>
      </w:pPr>
      <w:r>
        <w:t xml:space="preserve">4.2 Part B — cost, support and technical scores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26"/>
        <w:gridCol w:w="2400"/>
        <w:gridCol w:w="1600"/>
        <w:gridCol w:w="1500"/>
        <w:gridCol w:w="1500"/>
      </w:tblGrid>
      <w:tr>
        <w:trPr>
          <w:tblHeader/>
        </w:trPr>
        <w:tc>
          <w:tcPr>
            <w:tcW w:type="dxa" w:w="2026"/>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Vendor / product</w:t>
            </w:r>
          </w:p>
        </w:tc>
        <w:tc>
          <w:tcPr>
            <w:tcW w:type="dxa" w:w="240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Typical UK yr-1 cost (sw + impl)</w:t>
            </w:r>
          </w:p>
        </w:tc>
        <w:tc>
          <w:tcPr>
            <w:tcW w:type="dxa" w:w="160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UK support</w:t>
            </w:r>
          </w:p>
        </w:tc>
        <w:tc>
          <w:tcPr>
            <w:tcW w:type="dxa" w:w="150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Mobile</w:t>
            </w:r>
          </w:p>
        </w:tc>
        <w:tc>
          <w:tcPr>
            <w:tcW w:type="dxa" w:w="150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Integration</w:t>
            </w:r>
          </w:p>
        </w:tc>
      </w:tr>
      <w:tr>
        <w:tc>
          <w:tcPr>
            <w:tcW w:type="dxa" w:w="20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Access Coins Evo</w:t>
            </w:r>
          </w:p>
        </w:tc>
        <w:tc>
          <w:tcPr>
            <w:tcW w:type="dxa" w:w="24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£80k – £250k+</w:t>
            </w:r>
          </w:p>
        </w:tc>
        <w:tc>
          <w:tcPr>
            <w:tcW w:type="dxa" w:w="16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Strong</w:t>
            </w:r>
          </w:p>
        </w:tc>
        <w:tc>
          <w:tcPr>
            <w:tcW w:type="dxa" w:w="15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Good</w:t>
            </w:r>
          </w:p>
        </w:tc>
        <w:tc>
          <w:tcPr>
            <w:tcW w:type="dxa" w:w="15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Good</w:t>
            </w:r>
          </w:p>
        </w:tc>
      </w:tr>
      <w:tr>
        <w:tc>
          <w:tcPr>
            <w:tcW w:type="dxa" w:w="20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COINS</w:t>
            </w:r>
          </w:p>
        </w:tc>
        <w:tc>
          <w:tcPr>
            <w:tcW w:type="dxa" w:w="24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£80k – £1.5m+</w:t>
            </w:r>
          </w:p>
        </w:tc>
        <w:tc>
          <w:tcPr>
            <w:tcW w:type="dxa" w:w="16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Strong</w:t>
            </w:r>
          </w:p>
        </w:tc>
        <w:tc>
          <w:tcPr>
            <w:tcW w:type="dxa" w:w="15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Good</w:t>
            </w:r>
          </w:p>
        </w:tc>
        <w:tc>
          <w:tcPr>
            <w:tcW w:type="dxa" w:w="15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Good</w:t>
            </w:r>
          </w:p>
        </w:tc>
      </w:tr>
      <w:tr>
        <w:tc>
          <w:tcPr>
            <w:tcW w:type="dxa" w:w="20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Sage 200 / Construction</w:t>
            </w:r>
          </w:p>
        </w:tc>
        <w:tc>
          <w:tcPr>
            <w:tcW w:type="dxa" w:w="24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£15k – £100k</w:t>
            </w:r>
          </w:p>
        </w:tc>
        <w:tc>
          <w:tcPr>
            <w:tcW w:type="dxa" w:w="16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Strong</w:t>
            </w:r>
          </w:p>
        </w:tc>
        <w:tc>
          <w:tcPr>
            <w:tcW w:type="dxa" w:w="15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Moderate</w:t>
            </w:r>
          </w:p>
        </w:tc>
        <w:tc>
          <w:tcPr>
            <w:tcW w:type="dxa" w:w="15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Good</w:t>
            </w:r>
          </w:p>
        </w:tc>
      </w:tr>
      <w:tr>
        <w:tc>
          <w:tcPr>
            <w:tcW w:type="dxa" w:w="20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Dynamics 365 BC + ISVs</w:t>
            </w:r>
          </w:p>
        </w:tc>
        <w:tc>
          <w:tcPr>
            <w:tcW w:type="dxa" w:w="24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£30k – £500k</w:t>
            </w:r>
          </w:p>
        </w:tc>
        <w:tc>
          <w:tcPr>
            <w:tcW w:type="dxa" w:w="16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Good</w:t>
            </w:r>
          </w:p>
        </w:tc>
        <w:tc>
          <w:tcPr>
            <w:tcW w:type="dxa" w:w="15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Good</w:t>
            </w:r>
          </w:p>
        </w:tc>
        <w:tc>
          <w:tcPr>
            <w:tcW w:type="dxa" w:w="15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Strong</w:t>
            </w:r>
          </w:p>
        </w:tc>
      </w:tr>
      <w:tr>
        <w:tc>
          <w:tcPr>
            <w:tcW w:type="dxa" w:w="20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Eque2 (Construct / EVision)</w:t>
            </w:r>
          </w:p>
        </w:tc>
        <w:tc>
          <w:tcPr>
            <w:tcW w:type="dxa" w:w="24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£2k – £200k</w:t>
            </w:r>
          </w:p>
        </w:tc>
        <w:tc>
          <w:tcPr>
            <w:tcW w:type="dxa" w:w="16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Strong</w:t>
            </w:r>
          </w:p>
        </w:tc>
        <w:tc>
          <w:tcPr>
            <w:tcW w:type="dxa" w:w="15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Good</w:t>
            </w:r>
          </w:p>
        </w:tc>
        <w:tc>
          <w:tcPr>
            <w:tcW w:type="dxa" w:w="15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Strong</w:t>
            </w:r>
          </w:p>
        </w:tc>
      </w:tr>
      <w:tr>
        <w:tc>
          <w:tcPr>
            <w:tcW w:type="dxa" w:w="20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Causeway</w:t>
            </w:r>
          </w:p>
        </w:tc>
        <w:tc>
          <w:tcPr>
            <w:tcW w:type="dxa" w:w="24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£30k – £250k</w:t>
            </w:r>
          </w:p>
        </w:tc>
        <w:tc>
          <w:tcPr>
            <w:tcW w:type="dxa" w:w="16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Strong</w:t>
            </w:r>
          </w:p>
        </w:tc>
        <w:tc>
          <w:tcPr>
            <w:tcW w:type="dxa" w:w="15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Moderate</w:t>
            </w:r>
          </w:p>
        </w:tc>
        <w:tc>
          <w:tcPr>
            <w:tcW w:type="dxa" w:w="15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Moderate</w:t>
            </w:r>
          </w:p>
        </w:tc>
      </w:tr>
      <w:tr>
        <w:tc>
          <w:tcPr>
            <w:tcW w:type="dxa" w:w="20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Acumatica Construction</w:t>
            </w:r>
          </w:p>
        </w:tc>
        <w:tc>
          <w:tcPr>
            <w:tcW w:type="dxa" w:w="24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£50k – £150k</w:t>
            </w:r>
          </w:p>
        </w:tc>
        <w:tc>
          <w:tcPr>
            <w:tcW w:type="dxa" w:w="16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Moderate–Good</w:t>
            </w:r>
          </w:p>
        </w:tc>
        <w:tc>
          <w:tcPr>
            <w:tcW w:type="dxa" w:w="15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Strong</w:t>
            </w:r>
          </w:p>
        </w:tc>
        <w:tc>
          <w:tcPr>
            <w:tcW w:type="dxa" w:w="15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Strong</w:t>
            </w:r>
          </w:p>
        </w:tc>
      </w:tr>
      <w:tr>
        <w:tc>
          <w:tcPr>
            <w:tcW w:type="dxa" w:w="20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Trimble Viewpoint</w:t>
            </w:r>
          </w:p>
        </w:tc>
        <w:tc>
          <w:tcPr>
            <w:tcW w:type="dxa" w:w="24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£80k – £600k</w:t>
            </w:r>
          </w:p>
        </w:tc>
        <w:tc>
          <w:tcPr>
            <w:tcW w:type="dxa" w:w="16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Good</w:t>
            </w:r>
          </w:p>
        </w:tc>
        <w:tc>
          <w:tcPr>
            <w:tcW w:type="dxa" w:w="15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Good</w:t>
            </w:r>
          </w:p>
        </w:tc>
        <w:tc>
          <w:tcPr>
            <w:tcW w:type="dxa" w:w="15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Good</w:t>
            </w:r>
          </w:p>
        </w:tc>
      </w:tr>
      <w:tr>
        <w:tc>
          <w:tcPr>
            <w:tcW w:type="dxa" w:w="20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IFS Cloud</w:t>
            </w:r>
          </w:p>
        </w:tc>
        <w:tc>
          <w:tcPr>
            <w:tcW w:type="dxa" w:w="24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£150k – £2m+</w:t>
            </w:r>
          </w:p>
        </w:tc>
        <w:tc>
          <w:tcPr>
            <w:tcW w:type="dxa" w:w="16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Strong</w:t>
            </w:r>
          </w:p>
        </w:tc>
        <w:tc>
          <w:tcPr>
            <w:tcW w:type="dxa" w:w="15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Good</w:t>
            </w:r>
          </w:p>
        </w:tc>
        <w:tc>
          <w:tcPr>
            <w:tcW w:type="dxa" w:w="15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Good</w:t>
            </w:r>
          </w:p>
        </w:tc>
      </w:tr>
      <w:tr>
        <w:tc>
          <w:tcPr>
            <w:tcW w:type="dxa" w:w="20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Oracle NetSuite</w:t>
            </w:r>
          </w:p>
        </w:tc>
        <w:tc>
          <w:tcPr>
            <w:tcW w:type="dxa" w:w="24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£50k – £250k</w:t>
            </w:r>
          </w:p>
        </w:tc>
        <w:tc>
          <w:tcPr>
            <w:tcW w:type="dxa" w:w="16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Good</w:t>
            </w:r>
          </w:p>
        </w:tc>
        <w:tc>
          <w:tcPr>
            <w:tcW w:type="dxa" w:w="15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Good</w:t>
            </w:r>
          </w:p>
        </w:tc>
        <w:tc>
          <w:tcPr>
            <w:tcW w:type="dxa" w:w="15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Good</w:t>
            </w:r>
          </w:p>
        </w:tc>
      </w:tr>
      <w:tr>
        <w:tc>
          <w:tcPr>
            <w:tcW w:type="dxa" w:w="20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SAP S/4HANA</w:t>
            </w:r>
          </w:p>
        </w:tc>
        <w:tc>
          <w:tcPr>
            <w:tcW w:type="dxa" w:w="24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£500k – £5m+</w:t>
            </w:r>
          </w:p>
        </w:tc>
        <w:tc>
          <w:tcPr>
            <w:tcW w:type="dxa" w:w="16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Good</w:t>
            </w:r>
          </w:p>
        </w:tc>
        <w:tc>
          <w:tcPr>
            <w:tcW w:type="dxa" w:w="15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Good</w:t>
            </w:r>
          </w:p>
        </w:tc>
        <w:tc>
          <w:tcPr>
            <w:tcW w:type="dxa" w:w="15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Strong</w:t>
            </w:r>
          </w:p>
        </w:tc>
      </w:tr>
      <w:tr>
        <w:tc>
          <w:tcPr>
            <w:tcW w:type="dxa" w:w="20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Procore (+ ERP)</w:t>
            </w:r>
          </w:p>
        </w:tc>
        <w:tc>
          <w:tcPr>
            <w:tcW w:type="dxa" w:w="24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£15k – £60k+/yr</w:t>
            </w:r>
          </w:p>
        </w:tc>
        <w:tc>
          <w:tcPr>
            <w:tcW w:type="dxa" w:w="16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Good</w:t>
            </w:r>
          </w:p>
        </w:tc>
        <w:tc>
          <w:tcPr>
            <w:tcW w:type="dxa" w:w="15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Strong</w:t>
            </w:r>
          </w:p>
        </w:tc>
        <w:tc>
          <w:tcPr>
            <w:tcW w:type="dxa" w:w="15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Strong</w:t>
            </w:r>
          </w:p>
        </w:tc>
      </w:tr>
    </w:tbl>
    <w:p>
      <w:pPr>
        <w:spacing w:after="140" w:line="276"/>
      </w:pPr>
      <w:r>
        <w:rPr>
          <w:color w:val="5B6B7B"/>
          <w:sz w:val="18"/>
          <w:szCs w:val="18"/>
        </w:rPr>
        <w:t xml:space="preserve">Cost ranges are indicative first-year totals (software plus implementation) and vary widely with scope, modules, entities and negotiation. Acumatica and Procore use largely consumption- or product-based pricing rather than per-user seats, which changes how cost scales with headcount.</w:t>
      </w:r>
    </w:p>
    <w:p>
      <w:pPr>
        <w:pStyle w:val="Heading2"/>
      </w:pPr>
      <w:r>
        <w:t xml:space="preserve">4.3 Deployment model and best subsector fit</w:t>
      </w:r>
    </w:p>
    <w:p>
      <w:pPr>
        <w:spacing w:after="140" w:line="276"/>
      </w:pPr>
      <w:r>
        <w:t xml:space="preserve">Two further dimensions often decide a shortlist: whether the platform is genuinely cloud-native (versus a hosted legacy product), and the subsector it serves best. Use this alongside the size guidance in Part 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300"/>
        <w:gridCol w:w="3050"/>
        <w:gridCol w:w="3676"/>
      </w:tblGrid>
      <w:tr>
        <w:trPr>
          <w:tblHeader/>
        </w:trPr>
        <w:tc>
          <w:tcPr>
            <w:tcW w:type="dxa" w:w="230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Vendor / product</w:t>
            </w:r>
          </w:p>
        </w:tc>
        <w:tc>
          <w:tcPr>
            <w:tcW w:type="dxa" w:w="305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Deployment</w:t>
            </w:r>
          </w:p>
        </w:tc>
        <w:tc>
          <w:tcPr>
            <w:tcW w:type="dxa" w:w="3676"/>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Best subsector fit</w:t>
            </w:r>
          </w:p>
        </w:tc>
      </w:tr>
      <w:tr>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Access Coins Evo</w:t>
            </w:r>
          </w:p>
        </w:tc>
        <w:tc>
          <w:tcPr>
            <w:tcW w:type="dxa" w:w="3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Cloud (Microsoft Azure); on-prem heritage</w:t>
            </w:r>
          </w:p>
        </w:tc>
        <w:tc>
          <w:tcPr>
            <w:tcW w:type="dxa" w:w="367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Main contracting, housebuilding, civils, M&amp;E</w:t>
            </w:r>
          </w:p>
        </w:tc>
      </w:tr>
      <w:tr>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COINS</w:t>
            </w:r>
          </w:p>
        </w:tc>
        <w:tc>
          <w:tcPr>
            <w:tcW w:type="dxa" w:w="3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Browser-based; cloud or on-premise</w:t>
            </w:r>
          </w:p>
        </w:tc>
        <w:tc>
          <w:tcPr>
            <w:tcW w:type="dxa" w:w="367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Main contracting &amp; housebuilding at scale (Tier 1)</w:t>
            </w:r>
          </w:p>
        </w:tc>
      </w:tr>
      <w:tr>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Sage 200 / Sage Construction</w:t>
            </w:r>
          </w:p>
        </w:tc>
        <w:tc>
          <w:tcPr>
            <w:tcW w:type="dxa" w:w="3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Cloud-connected / hybrid</w:t>
            </w:r>
          </w:p>
        </w:tc>
        <w:tc>
          <w:tcPr>
            <w:tcW w:type="dxa" w:w="367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SME building &amp; specialist subcontractors</w:t>
            </w:r>
          </w:p>
        </w:tc>
      </w:tr>
      <w:tr>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Dynamics 365 BC + ISVs</w:t>
            </w:r>
          </w:p>
        </w:tc>
        <w:tc>
          <w:tcPr>
            <w:tcW w:type="dxa" w:w="3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Cloud-native (SaaS)</w:t>
            </w:r>
          </w:p>
        </w:tc>
        <w:tc>
          <w:tcPr>
            <w:tcW w:type="dxa" w:w="367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Mixed contractors/housebuilders on Microsoft</w:t>
            </w:r>
          </w:p>
        </w:tc>
      </w:tr>
      <w:tr>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Eque2 (Construct / EVision)</w:t>
            </w:r>
          </w:p>
        </w:tc>
        <w:tc>
          <w:tcPr>
            <w:tcW w:type="dxa" w:w="3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Cloud (on Sage / D365 BC)</w:t>
            </w:r>
          </w:p>
        </w:tc>
        <w:tc>
          <w:tcPr>
            <w:tcW w:type="dxa" w:w="367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Main contracting, specialist/M&amp;E, housebuilding, fit-out</w:t>
            </w:r>
          </w:p>
        </w:tc>
      </w:tr>
      <w:tr>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Causeway</w:t>
            </w:r>
          </w:p>
        </w:tc>
        <w:tc>
          <w:tcPr>
            <w:tcW w:type="dxa" w:w="3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Cloud</w:t>
            </w:r>
          </w:p>
        </w:tc>
        <w:tc>
          <w:tcPr>
            <w:tcW w:type="dxa" w:w="367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Main contracting &amp; civils (commercial / QS-led)</w:t>
            </w:r>
          </w:p>
        </w:tc>
      </w:tr>
      <w:tr>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Acumatica Construction</w:t>
            </w:r>
          </w:p>
        </w:tc>
        <w:tc>
          <w:tcPr>
            <w:tcW w:type="dxa" w:w="3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Cloud-native (SaaS or private cloud)</w:t>
            </w:r>
          </w:p>
        </w:tc>
        <w:tc>
          <w:tcPr>
            <w:tcW w:type="dxa" w:w="367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Specialist trades &amp; mid-market general contractors</w:t>
            </w:r>
          </w:p>
        </w:tc>
      </w:tr>
      <w:tr>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Trimble Viewpoint</w:t>
            </w:r>
          </w:p>
        </w:tc>
        <w:tc>
          <w:tcPr>
            <w:tcW w:type="dxa" w:w="3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Cloud (Spectrum) / hosted (Vista)</w:t>
            </w:r>
          </w:p>
        </w:tc>
        <w:tc>
          <w:tcPr>
            <w:tcW w:type="dxa" w:w="367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Main contracting &amp; civils (operations-led)</w:t>
            </w:r>
          </w:p>
        </w:tc>
      </w:tr>
      <w:tr>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IFS Cloud</w:t>
            </w:r>
          </w:p>
        </w:tc>
        <w:tc>
          <w:tcPr>
            <w:tcW w:type="dxa" w:w="3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Cloud-native (also on-premise)</w:t>
            </w:r>
          </w:p>
        </w:tc>
        <w:tc>
          <w:tcPr>
            <w:tcW w:type="dxa" w:w="367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Civils/infrastructure &amp; asset-heavy contractors</w:t>
            </w:r>
          </w:p>
        </w:tc>
      </w:tr>
      <w:tr>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Oracle NetSuite</w:t>
            </w:r>
          </w:p>
        </w:tc>
        <w:tc>
          <w:tcPr>
            <w:tcW w:type="dxa" w:w="3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Cloud-native (SaaS)</w:t>
            </w:r>
          </w:p>
        </w:tc>
        <w:tc>
          <w:tcPr>
            <w:tcW w:type="dxa" w:w="367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Diversified groups &amp; developers (multi-entity)</w:t>
            </w:r>
          </w:p>
        </w:tc>
      </w:tr>
      <w:tr>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SAP S/4HANA</w:t>
            </w:r>
          </w:p>
        </w:tc>
        <w:tc>
          <w:tcPr>
            <w:tcW w:type="dxa" w:w="3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Cloud or on-premise</w:t>
            </w:r>
          </w:p>
        </w:tc>
        <w:tc>
          <w:tcPr>
            <w:tcW w:type="dxa" w:w="367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5"/>
                <w:szCs w:val="15"/>
              </w:rPr>
              <w:t xml:space="preserve">Tier 1 civils &amp; national housebuilders</w:t>
            </w:r>
          </w:p>
        </w:tc>
      </w:tr>
      <w:tr>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Procore (+ finance ERP)</w:t>
            </w:r>
          </w:p>
        </w:tc>
        <w:tc>
          <w:tcPr>
            <w:tcW w:type="dxa" w:w="3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Cloud-native (SaaS)</w:t>
            </w:r>
          </w:p>
        </w:tc>
        <w:tc>
          <w:tcPr>
            <w:tcW w:type="dxa" w:w="367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5"/>
                <w:szCs w:val="15"/>
              </w:rPr>
              <w:t xml:space="preserve">Project-controls layer across main contracting &amp; fit-out</w:t>
            </w:r>
          </w:p>
        </w:tc>
      </w:tr>
    </w:tbl>
    <w:p>
      <w:pPr>
        <w:pStyle w:val="Heading2"/>
      </w:pPr>
      <w:r>
        <w:t xml:space="preserve">4.4 How these ratings were reached — methodology and evidence</w:t>
      </w:r>
    </w:p>
    <w:p>
      <w:pPr>
        <w:spacing w:after="140" w:line="276"/>
      </w:pPr>
      <w:r>
        <w:t xml:space="preserve">Transparency matters here, because the ratings drive shortlisting. The three qualitative columns (UK support, mobile, integration) are not a single measured benchmark. They are </w:t>
      </w:r>
      <w:r>
        <w:t xml:space="preserve">editorial assessments triangulated from four evidence types</w:t>
      </w:r>
      <w:r>
        <w:t xml:space="preserve">: (1) independent review-platform scores and sub-scores for support, ease of use and value (Capterra, G2 and SelectHub, which break out a “customer service” rating); (2) verifiable product capabilities from vendor and partner documentation (for example whether CIS is native or delivered through an add-on, whether there is a native mobile app, and whether the platform exposes open APIs); (3) the platform’s established market positioning and segment; and (4) 2026 UK contractor and implementation-partner feedback. The </w:t>
      </w:r>
      <w:r>
        <w:t xml:space="preserve">cost ranges</w:t>
      </w:r>
      <w:r>
        <w:t xml:space="preserve"> are first-year (software + implementation) figures drawn from published pricing analyses and partner guidance; enterprise platforms (COINS, SAP, IFS, Oracle) are quoted bespoke, so their ranges are wider and more indicative.</w:t>
      </w:r>
    </w:p>
    <w:p>
      <w:pPr>
        <w:spacing w:after="140" w:line="276"/>
      </w:pPr>
      <w:r>
        <w:rPr>
          <w:color w:val="5B6B7B"/>
          <w:sz w:val="18"/>
          <w:szCs w:val="18"/>
        </w:rPr>
        <w:t xml:space="preserve">The scale is deliberately coarse — Strong / Good / Moderate — because the underlying evidence does not support false precision. Two caveats apply to all review scores: many carry vendor-incentivised reviews, and review volumes differ greatly between vendors (an enterprise platform with 3,000+ reviews is a more robust signal than a niche product with 40). Treat the table as a starting filter, not a verdict; verify on your own requirements during procurement.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700"/>
        <w:gridCol w:w="2050"/>
        <w:gridCol w:w="3550"/>
        <w:gridCol w:w="1726"/>
      </w:tblGrid>
      <w:tr>
        <w:trPr>
          <w:tblHeader/>
        </w:trPr>
        <w:tc>
          <w:tcPr>
            <w:tcW w:type="dxa" w:w="170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6"/>
                <w:szCs w:val="16"/>
              </w:rPr>
              <w:t xml:space="preserve">Vendor</w:t>
            </w:r>
          </w:p>
        </w:tc>
        <w:tc>
          <w:tcPr>
            <w:tcW w:type="dxa" w:w="205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6"/>
                <w:szCs w:val="16"/>
              </w:rPr>
              <w:t xml:space="preserve">Independent review signal</w:t>
            </w:r>
          </w:p>
        </w:tc>
        <w:tc>
          <w:tcPr>
            <w:tcW w:type="dxa" w:w="355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6"/>
                <w:szCs w:val="16"/>
              </w:rPr>
              <w:t xml:space="preserve">Basis for our support / mobile / integration ratings</w:t>
            </w:r>
          </w:p>
        </w:tc>
        <w:tc>
          <w:tcPr>
            <w:tcW w:type="dxa" w:w="1726"/>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6"/>
                <w:szCs w:val="16"/>
              </w:rPr>
              <w:t xml:space="preserve">Source(s)</w:t>
            </w:r>
          </w:p>
        </w:tc>
      </w:tr>
      <w:tr>
        <w:tc>
          <w:tcPr>
            <w:tcW w:type="dxa" w:w="17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0"/>
            </w:pPr>
            <w:r>
              <w:rPr>
                <w:sz w:val="14"/>
                <w:szCs w:val="14"/>
              </w:rPr>
              <w:t xml:space="preserve">Access Coins / COINS</w:t>
            </w:r>
          </w:p>
        </w:tc>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0"/>
            </w:pPr>
            <w:r>
              <w:rPr>
                <w:sz w:val="14"/>
                <w:szCs w:val="14"/>
              </w:rPr>
              <w:t xml:space="preserve">Capterra 4.4/5 (43 reviews); G2 ~4.4; ~75% of UK housebuilders use COINS.</w:t>
            </w:r>
          </w:p>
        </w:tc>
        <w:tc>
          <w:tcPr>
            <w:tcW w:type="dxa" w:w="35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0"/>
            </w:pPr>
            <w:r>
              <w:rPr>
                <w:b/>
                <w:bCs/>
                <w:sz w:val="14"/>
                <w:szCs w:val="14"/>
              </w:rPr>
              <w:t xml:space="preserve">Support: Strong</w:t>
            </w:r>
            <w:r>
              <w:rPr>
                <w:sz w:val="14"/>
                <w:szCs w:val="14"/>
              </w:rPr>
              <w:t xml:space="preserve"> — reviewers cite responsive, knowledgeable consultants and help desk (with a noted learning curve and documentation gaps). </w:t>
            </w:r>
            <w:r>
              <w:rPr>
                <w:b/>
                <w:bCs/>
                <w:sz w:val="14"/>
                <w:szCs w:val="14"/>
              </w:rPr>
              <w:t xml:space="preserve">Mobile: Good</w:t>
            </w:r>
            <w:r>
              <w:rPr>
                <w:sz w:val="14"/>
                <w:szCs w:val="14"/>
              </w:rPr>
              <w:t xml:space="preserve"> — native iOS apps for construction, service and CRM. </w:t>
            </w:r>
            <w:r>
              <w:rPr>
                <w:b/>
                <w:bCs/>
                <w:sz w:val="14"/>
                <w:szCs w:val="14"/>
              </w:rPr>
              <w:t xml:space="preserve">Integration: Good</w:t>
            </w:r>
            <w:r>
              <w:rPr>
                <w:sz w:val="14"/>
                <w:szCs w:val="14"/>
              </w:rPr>
              <w:t xml:space="preserve"> — single-platform ERP+ consolidating finance, payroll and CRM.</w:t>
            </w:r>
          </w:p>
        </w:tc>
        <w:tc>
          <w:tcPr>
            <w:tcW w:type="dxa" w:w="17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0"/>
            </w:pPr>
            <w:hyperlink w:history="1" r:id="rIdhpjumtre_-91u9bfbpulx">
              <w:r>
                <w:rPr>
                  <w:color w:val="2E75B6"/>
                  <w:sz w:val="14"/>
                  <w:szCs w:val="14"/>
                  <w:u w:val="single"/>
                </w:rPr>
                <w:t xml:space="preserve">Capterra</w:t>
              </w:r>
            </w:hyperlink>
            <w:r>
              <w:rPr>
                <w:color w:val="5B6B7B"/>
                <w:sz w:val="14"/>
                <w:szCs w:val="14"/>
              </w:rPr>
              <w:t xml:space="preserve"> · </w:t>
            </w:r>
            <w:hyperlink w:history="1" r:id="rIdqvkwsotizeghkc77iiafs">
              <w:r>
                <w:rPr>
                  <w:color w:val="2E75B6"/>
                  <w:sz w:val="14"/>
                  <w:szCs w:val="14"/>
                  <w:u w:val="single"/>
                </w:rPr>
                <w:t xml:space="preserve">G2</w:t>
              </w:r>
            </w:hyperlink>
          </w:p>
        </w:tc>
      </w:tr>
      <w:tr>
        <w:tc>
          <w:tcPr>
            <w:tcW w:type="dxa" w:w="17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0"/>
            </w:pPr>
            <w:r>
              <w:rPr>
                <w:sz w:val="14"/>
                <w:szCs w:val="14"/>
              </w:rPr>
              <w:t xml:space="preserve">Sage 200 / Sage Construction</w:t>
            </w:r>
          </w:p>
        </w:tc>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0"/>
            </w:pPr>
            <w:r>
              <w:rPr>
                <w:sz w:val="14"/>
                <w:szCs w:val="14"/>
              </w:rPr>
              <w:t xml:space="preserve">Capterra Sage 200 (48 reviews); Sage Construction Suite reviews mixed on setup.</w:t>
            </w:r>
          </w:p>
        </w:tc>
        <w:tc>
          <w:tcPr>
            <w:tcW w:type="dxa" w:w="35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0"/>
            </w:pPr>
            <w:r>
              <w:rPr>
                <w:b/>
                <w:bCs/>
                <w:sz w:val="14"/>
                <w:szCs w:val="14"/>
              </w:rPr>
              <w:t xml:space="preserve">Support: Strong</w:t>
            </w:r>
            <w:r>
              <w:rPr>
                <w:sz w:val="14"/>
                <w:szCs w:val="14"/>
              </w:rPr>
              <w:t xml:space="preserve"> — very large UK partner and accountant network. </w:t>
            </w:r>
            <w:r>
              <w:rPr>
                <w:b/>
                <w:bCs/>
                <w:sz w:val="14"/>
                <w:szCs w:val="14"/>
              </w:rPr>
              <w:t xml:space="preserve">Mobile: Moderate</w:t>
            </w:r>
            <w:r>
              <w:rPr>
                <w:sz w:val="14"/>
                <w:szCs w:val="14"/>
              </w:rPr>
              <w:t xml:space="preserve"> — Sage 200 desktop/client-server heritage; reviewers note workstation update friction. </w:t>
            </w:r>
            <w:r>
              <w:rPr>
                <w:b/>
                <w:bCs/>
                <w:sz w:val="14"/>
                <w:szCs w:val="14"/>
              </w:rPr>
              <w:t xml:space="preserve">Integration: Good</w:t>
            </w:r>
            <w:r>
              <w:rPr>
                <w:sz w:val="14"/>
                <w:szCs w:val="14"/>
              </w:rPr>
              <w:t xml:space="preserve"> — broad Sage ecosystem + construction add-ons; native CIS/DRC.</w:t>
            </w:r>
          </w:p>
        </w:tc>
        <w:tc>
          <w:tcPr>
            <w:tcW w:type="dxa" w:w="17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0"/>
            </w:pPr>
            <w:hyperlink w:history="1" r:id="rIdapk1ae1excg1plihl-zam">
              <w:r>
                <w:rPr>
                  <w:color w:val="2E75B6"/>
                  <w:sz w:val="14"/>
                  <w:szCs w:val="14"/>
                  <w:u w:val="single"/>
                </w:rPr>
                <w:t xml:space="preserve">Capterra</w:t>
              </w:r>
            </w:hyperlink>
            <w:r>
              <w:rPr>
                <w:color w:val="5B6B7B"/>
                <w:sz w:val="14"/>
                <w:szCs w:val="14"/>
              </w:rPr>
              <w:t xml:space="preserve"> · </w:t>
            </w:r>
            <w:hyperlink w:history="1" r:id="rId3zkointhhuywu3h3l9mdf">
              <w:r>
                <w:rPr>
                  <w:color w:val="2E75B6"/>
                  <w:sz w:val="14"/>
                  <w:szCs w:val="14"/>
                  <w:u w:val="single"/>
                </w:rPr>
                <w:t xml:space="preserve">Sage Construction</w:t>
              </w:r>
            </w:hyperlink>
          </w:p>
        </w:tc>
      </w:tr>
      <w:tr>
        <w:tc>
          <w:tcPr>
            <w:tcW w:type="dxa" w:w="17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0"/>
            </w:pPr>
            <w:r>
              <w:rPr>
                <w:sz w:val="14"/>
                <w:szCs w:val="14"/>
              </w:rPr>
              <w:t xml:space="preserve">Dynamics 365 BC + ISVs</w:t>
            </w:r>
          </w:p>
        </w:tc>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0"/>
            </w:pPr>
            <w:r>
              <w:rPr>
                <w:sz w:val="14"/>
                <w:szCs w:val="14"/>
              </w:rPr>
              <w:t xml:space="preserve">BC broadly rated in the low-4s; construction via ISVs (Eque2 EVision, Sicon, NB Projects).</w:t>
            </w:r>
          </w:p>
        </w:tc>
        <w:tc>
          <w:tcPr>
            <w:tcW w:type="dxa" w:w="35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0"/>
            </w:pPr>
            <w:r>
              <w:rPr>
                <w:b/>
                <w:bCs/>
                <w:sz w:val="14"/>
                <w:szCs w:val="14"/>
              </w:rPr>
              <w:t xml:space="preserve">Integration: Strong</w:t>
            </w:r>
            <w:r>
              <w:rPr>
                <w:sz w:val="14"/>
                <w:szCs w:val="14"/>
              </w:rPr>
              <w:t xml:space="preserve"> — native Microsoft 365 / Power BI. </w:t>
            </w:r>
            <w:r>
              <w:rPr>
                <w:b/>
                <w:bCs/>
                <w:sz w:val="14"/>
                <w:szCs w:val="14"/>
              </w:rPr>
              <w:t xml:space="preserve">Mobile: Good</w:t>
            </w:r>
            <w:r>
              <w:rPr>
                <w:sz w:val="14"/>
                <w:szCs w:val="14"/>
              </w:rPr>
              <w:t xml:space="preserve"> — modern cloud apps. </w:t>
            </w:r>
            <w:r>
              <w:rPr>
                <w:b/>
                <w:bCs/>
                <w:sz w:val="14"/>
                <w:szCs w:val="14"/>
              </w:rPr>
              <w:t xml:space="preserve">Support: Good</w:t>
            </w:r>
            <w:r>
              <w:rPr>
                <w:sz w:val="14"/>
                <w:szCs w:val="14"/>
              </w:rPr>
              <w:t xml:space="preserve"> — partner-dependent. Note CIS/DRC/CITB are delivered via the ISV add-on, not native to BC.</w:t>
            </w:r>
          </w:p>
        </w:tc>
        <w:tc>
          <w:tcPr>
            <w:tcW w:type="dxa" w:w="17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0"/>
            </w:pPr>
            <w:hyperlink w:history="1" r:id="rIdbvriwgvhed6m8glloyv6j">
              <w:r>
                <w:rPr>
                  <w:color w:val="2E75B6"/>
                  <w:sz w:val="14"/>
                  <w:szCs w:val="14"/>
                  <w:u w:val="single"/>
                </w:rPr>
                <w:t xml:space="preserve">Eque2 EVision</w:t>
              </w:r>
            </w:hyperlink>
          </w:p>
        </w:tc>
      </w:tr>
      <w:tr>
        <w:tc>
          <w:tcPr>
            <w:tcW w:type="dxa" w:w="17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0"/>
            </w:pPr>
            <w:r>
              <w:rPr>
                <w:sz w:val="14"/>
                <w:szCs w:val="14"/>
              </w:rPr>
              <w:t xml:space="preserve">Eque2 (Construct / EVision)</w:t>
            </w:r>
          </w:p>
        </w:tc>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0"/>
            </w:pPr>
            <w:r>
              <w:rPr>
                <w:sz w:val="14"/>
                <w:szCs w:val="14"/>
              </w:rPr>
              <w:t xml:space="preserve">Capterra (EValuate) 4.3/5 (1,069 reviews); 3,000+ UK &amp; IE firms; some negative onboarding reviews.</w:t>
            </w:r>
          </w:p>
        </w:tc>
        <w:tc>
          <w:tcPr>
            <w:tcW w:type="dxa" w:w="35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0"/>
            </w:pPr>
            <w:r>
              <w:rPr>
                <w:b/>
                <w:bCs/>
                <w:sz w:val="14"/>
                <w:szCs w:val="14"/>
              </w:rPr>
              <w:t xml:space="preserve">Support: Strong (with caveat)</w:t>
            </w:r>
            <w:r>
              <w:rPr>
                <w:sz w:val="14"/>
                <w:szCs w:val="14"/>
              </w:rPr>
              <w:t xml:space="preserve"> — UK construction-specialist phone support; isolated negative contract/onboarding reviews exist. </w:t>
            </w:r>
            <w:r>
              <w:rPr>
                <w:b/>
                <w:bCs/>
                <w:sz w:val="14"/>
                <w:szCs w:val="14"/>
              </w:rPr>
              <w:t xml:space="preserve">Mobile: Good</w:t>
            </w:r>
            <w:r>
              <w:rPr>
                <w:sz w:val="14"/>
                <w:szCs w:val="14"/>
              </w:rPr>
              <w:t xml:space="preserve"> — cloud, any device. </w:t>
            </w:r>
            <w:r>
              <w:rPr>
                <w:b/>
                <w:bCs/>
                <w:sz w:val="14"/>
                <w:szCs w:val="14"/>
              </w:rPr>
              <w:t xml:space="preserve">Integration: Strong</w:t>
            </w:r>
            <w:r>
              <w:rPr>
                <w:sz w:val="14"/>
                <w:szCs w:val="14"/>
              </w:rPr>
              <w:t xml:space="preserve"> — native CIS/DRC/MTD; Sage- and Microsoft-accredited.</w:t>
            </w:r>
          </w:p>
        </w:tc>
        <w:tc>
          <w:tcPr>
            <w:tcW w:type="dxa" w:w="17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0"/>
            </w:pPr>
            <w:hyperlink w:history="1" r:id="rIdumndvt6frxlcqxwgwkfzn">
              <w:r>
                <w:rPr>
                  <w:color w:val="2E75B6"/>
                  <w:sz w:val="14"/>
                  <w:szCs w:val="14"/>
                  <w:u w:val="single"/>
                </w:rPr>
                <w:t xml:space="preserve">Capterra</w:t>
              </w:r>
            </w:hyperlink>
            <w:r>
              <w:rPr>
                <w:color w:val="5B6B7B"/>
                <w:sz w:val="14"/>
                <w:szCs w:val="14"/>
              </w:rPr>
              <w:t xml:space="preserve"> · </w:t>
            </w:r>
            <w:hyperlink w:history="1" r:id="rIdprnc-xeco6yrni1aciyff">
              <w:r>
                <w:rPr>
                  <w:color w:val="2E75B6"/>
                  <w:sz w:val="14"/>
                  <w:szCs w:val="14"/>
                  <w:u w:val="single"/>
                </w:rPr>
                <w:t xml:space="preserve">CIS capability</w:t>
              </w:r>
            </w:hyperlink>
          </w:p>
        </w:tc>
      </w:tr>
      <w:tr>
        <w:tc>
          <w:tcPr>
            <w:tcW w:type="dxa" w:w="17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0"/>
            </w:pPr>
            <w:r>
              <w:rPr>
                <w:sz w:val="14"/>
                <w:szCs w:val="14"/>
              </w:rPr>
              <w:t xml:space="preserve">Causeway</w:t>
            </w:r>
          </w:p>
        </w:tc>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0"/>
            </w:pPr>
            <w:r>
              <w:rPr>
                <w:sz w:val="14"/>
                <w:szCs w:val="14"/>
              </w:rPr>
              <w:t xml:space="preserve">Cloud commercial-management platform for main contractors; estimating used by 400+ UK contractors.</w:t>
            </w:r>
          </w:p>
        </w:tc>
        <w:tc>
          <w:tcPr>
            <w:tcW w:type="dxa" w:w="35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0"/>
            </w:pPr>
            <w:r>
              <w:rPr>
                <w:b/>
                <w:bCs/>
                <w:sz w:val="14"/>
                <w:szCs w:val="14"/>
              </w:rPr>
              <w:t xml:space="preserve">Support: Strong</w:t>
            </w:r>
            <w:r>
              <w:rPr>
                <w:sz w:val="14"/>
                <w:szCs w:val="14"/>
              </w:rPr>
              <w:t xml:space="preserve"> — established UK vendor. </w:t>
            </w:r>
            <w:r>
              <w:rPr>
                <w:b/>
                <w:bCs/>
                <w:sz w:val="14"/>
                <w:szCs w:val="14"/>
              </w:rPr>
              <w:t xml:space="preserve">Mobile: Moderate.</w:t>
            </w:r>
            <w:r>
              <w:rPr>
                <w:sz w:val="14"/>
                <w:szCs w:val="14"/>
              </w:rPr>
              <w:t xml:space="preserve"> </w:t>
            </w:r>
            <w:r>
              <w:rPr>
                <w:b/>
                <w:bCs/>
                <w:sz w:val="14"/>
                <w:szCs w:val="14"/>
              </w:rPr>
              <w:t xml:space="preserve">Integration: Moderate</w:t>
            </w:r>
            <w:r>
              <w:rPr>
                <w:sz w:val="14"/>
                <w:szCs w:val="14"/>
              </w:rPr>
              <w:t xml:space="preserve"> — strength is estimating/commercial management; finance integration is often custom (not a full finance ERP).</w:t>
            </w:r>
          </w:p>
        </w:tc>
        <w:tc>
          <w:tcPr>
            <w:tcW w:type="dxa" w:w="17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0"/>
            </w:pPr>
            <w:hyperlink w:history="1" r:id="rIdfrcqy2fjsx8tlyy_4cwhw">
              <w:r>
                <w:rPr>
                  <w:color w:val="2E75B6"/>
                  <w:sz w:val="14"/>
                  <w:szCs w:val="14"/>
                  <w:u w:val="single"/>
                </w:rPr>
                <w:t xml:space="preserve">Commercial Mgmt</w:t>
              </w:r>
            </w:hyperlink>
            <w:r>
              <w:rPr>
                <w:color w:val="5B6B7B"/>
                <w:sz w:val="14"/>
                <w:szCs w:val="14"/>
              </w:rPr>
              <w:t xml:space="preserve"> · </w:t>
            </w:r>
            <w:hyperlink w:history="1" r:id="rIdp6nqkym5qzuk4dqwemkwa">
              <w:r>
                <w:rPr>
                  <w:color w:val="2E75B6"/>
                  <w:sz w:val="14"/>
                  <w:szCs w:val="14"/>
                  <w:u w:val="single"/>
                </w:rPr>
                <w:t xml:space="preserve">Estimating</w:t>
              </w:r>
            </w:hyperlink>
          </w:p>
        </w:tc>
      </w:tr>
      <w:tr>
        <w:tc>
          <w:tcPr>
            <w:tcW w:type="dxa" w:w="17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0"/>
            </w:pPr>
            <w:r>
              <w:rPr>
                <w:sz w:val="14"/>
                <w:szCs w:val="14"/>
              </w:rPr>
              <w:t xml:space="preserve">Acumatica Construction</w:t>
            </w:r>
          </w:p>
        </w:tc>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0"/>
            </w:pPr>
            <w:r>
              <w:rPr>
                <w:sz w:val="14"/>
                <w:szCs w:val="14"/>
              </w:rPr>
              <w:t xml:space="preserve">G2 4.4/5 (~2,000 reviews); SelectHub 90% (1,720 reviews).</w:t>
            </w:r>
          </w:p>
        </w:tc>
        <w:tc>
          <w:tcPr>
            <w:tcW w:type="dxa" w:w="35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0"/>
            </w:pPr>
            <w:r>
              <w:rPr>
                <w:b/>
                <w:bCs/>
                <w:sz w:val="14"/>
                <w:szCs w:val="14"/>
              </w:rPr>
              <w:t xml:space="preserve">Mobile: Strong</w:t>
            </w:r>
            <w:r>
              <w:rPr>
                <w:sz w:val="14"/>
                <w:szCs w:val="14"/>
              </w:rPr>
              <w:t xml:space="preserve"> — unlimited-user mobile with strong field capture. </w:t>
            </w:r>
            <w:r>
              <w:rPr>
                <w:b/>
                <w:bCs/>
                <w:sz w:val="14"/>
                <w:szCs w:val="14"/>
              </w:rPr>
              <w:t xml:space="preserve">Integration: Strong</w:t>
            </w:r>
            <w:r>
              <w:rPr>
                <w:sz w:val="14"/>
                <w:szCs w:val="14"/>
              </w:rPr>
              <w:t xml:space="preserve"> — open REST APIs. </w:t>
            </w:r>
            <w:r>
              <w:rPr>
                <w:b/>
                <w:bCs/>
                <w:sz w:val="14"/>
                <w:szCs w:val="14"/>
              </w:rPr>
              <w:t xml:space="preserve">Support: Moderate–Good</w:t>
            </w:r>
            <w:r>
              <w:rPr>
                <w:sz w:val="14"/>
                <w:szCs w:val="14"/>
              </w:rPr>
              <w:t xml:space="preserve"> — partner-led (e.g. Pinnacle UKI). Note CIS/DRC via UK partner localisation, not native.</w:t>
            </w:r>
          </w:p>
        </w:tc>
        <w:tc>
          <w:tcPr>
            <w:tcW w:type="dxa" w:w="17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0"/>
            </w:pPr>
            <w:hyperlink w:history="1" r:id="rId78mxxfl-vslvmapauopdd">
              <w:r>
                <w:rPr>
                  <w:color w:val="2E75B6"/>
                  <w:sz w:val="14"/>
                  <w:szCs w:val="14"/>
                  <w:u w:val="single"/>
                </w:rPr>
                <w:t xml:space="preserve">SelectHub</w:t>
              </w:r>
            </w:hyperlink>
            <w:r>
              <w:rPr>
                <w:color w:val="5B6B7B"/>
                <w:sz w:val="14"/>
                <w:szCs w:val="14"/>
              </w:rPr>
              <w:t xml:space="preserve"> · </w:t>
            </w:r>
            <w:hyperlink w:history="1" r:id="rIdytmffv0jrpxyodlbrf8ki">
              <w:r>
                <w:rPr>
                  <w:color w:val="2E75B6"/>
                  <w:sz w:val="14"/>
                  <w:szCs w:val="14"/>
                  <w:u w:val="single"/>
                </w:rPr>
                <w:t xml:space="preserve">UK partner</w:t>
              </w:r>
            </w:hyperlink>
          </w:p>
        </w:tc>
      </w:tr>
      <w:tr>
        <w:tc>
          <w:tcPr>
            <w:tcW w:type="dxa" w:w="17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0"/>
            </w:pPr>
            <w:r>
              <w:rPr>
                <w:sz w:val="14"/>
                <w:szCs w:val="14"/>
              </w:rPr>
              <w:t xml:space="preserve">Trimble Viewpoint (Vista/Spectrum)</w:t>
            </w:r>
          </w:p>
        </w:tc>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0"/>
            </w:pPr>
            <w:r>
              <w:rPr>
                <w:sz w:val="14"/>
                <w:szCs w:val="14"/>
              </w:rPr>
              <w:t xml:space="preserve">G2 (Vista) ~4.0/5.</w:t>
            </w:r>
          </w:p>
        </w:tc>
        <w:tc>
          <w:tcPr>
            <w:tcW w:type="dxa" w:w="35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0"/>
            </w:pPr>
            <w:r>
              <w:rPr>
                <w:b/>
                <w:bCs/>
                <w:sz w:val="14"/>
                <w:szCs w:val="14"/>
              </w:rPr>
              <w:t xml:space="preserve">Mobile: Good</w:t>
            </w:r>
            <w:r>
              <w:rPr>
                <w:sz w:val="14"/>
                <w:szCs w:val="14"/>
              </w:rPr>
              <w:t xml:space="preserve"> and </w:t>
            </w:r>
            <w:r>
              <w:rPr>
                <w:b/>
                <w:bCs/>
                <w:sz w:val="14"/>
                <w:szCs w:val="14"/>
              </w:rPr>
              <w:t xml:space="preserve">Integration: Good</w:t>
            </w:r>
            <w:r>
              <w:rPr>
                <w:sz w:val="14"/>
                <w:szCs w:val="14"/>
              </w:rPr>
              <w:t xml:space="preserve"> — mature field-to-office tooling and a broad integration ecosystem (incl. Procore). </w:t>
            </w:r>
            <w:r>
              <w:rPr>
                <w:b/>
                <w:bCs/>
                <w:sz w:val="14"/>
                <w:szCs w:val="14"/>
              </w:rPr>
              <w:t xml:space="preserve">Support: Good.</w:t>
            </w:r>
            <w:r>
              <w:rPr>
                <w:sz w:val="14"/>
                <w:szCs w:val="14"/>
              </w:rPr>
              <w:t xml:space="preserve"> Implementation is heavy and costly; parts of the UI are legacy.</w:t>
            </w:r>
          </w:p>
        </w:tc>
        <w:tc>
          <w:tcPr>
            <w:tcW w:type="dxa" w:w="17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0"/>
            </w:pPr>
            <w:hyperlink w:history="1" r:id="rIdjebmbqcey6lno3q94c9es">
              <w:r>
                <w:rPr>
                  <w:color w:val="2E75B6"/>
                  <w:sz w:val="14"/>
                  <w:szCs w:val="14"/>
                  <w:u w:val="single"/>
                </w:rPr>
                <w:t xml:space="preserve">G2 (Vista)</w:t>
              </w:r>
            </w:hyperlink>
          </w:p>
        </w:tc>
      </w:tr>
      <w:tr>
        <w:tc>
          <w:tcPr>
            <w:tcW w:type="dxa" w:w="17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0"/>
            </w:pPr>
            <w:r>
              <w:rPr>
                <w:sz w:val="14"/>
                <w:szCs w:val="14"/>
              </w:rPr>
              <w:t xml:space="preserve">IFS Cloud</w:t>
            </w:r>
          </w:p>
        </w:tc>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0"/>
            </w:pPr>
            <w:r>
              <w:rPr>
                <w:sz w:val="14"/>
                <w:szCs w:val="14"/>
              </w:rPr>
              <w:t xml:space="preserve">G2 ~4.0/5.</w:t>
            </w:r>
          </w:p>
        </w:tc>
        <w:tc>
          <w:tcPr>
            <w:tcW w:type="dxa" w:w="35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0"/>
            </w:pPr>
            <w:r>
              <w:rPr>
                <w:b/>
                <w:bCs/>
                <w:sz w:val="14"/>
                <w:szCs w:val="14"/>
              </w:rPr>
              <w:t xml:space="preserve">Support: Strong</w:t>
            </w:r>
            <w:r>
              <w:rPr>
                <w:sz w:val="14"/>
                <w:szCs w:val="14"/>
              </w:rPr>
              <w:t xml:space="preserve"> — UK-headquartered enterprise vendor. </w:t>
            </w:r>
            <w:r>
              <w:rPr>
                <w:b/>
                <w:bCs/>
                <w:sz w:val="14"/>
                <w:szCs w:val="14"/>
              </w:rPr>
              <w:t xml:space="preserve">Mobile: Good</w:t>
            </w:r>
            <w:r>
              <w:rPr>
                <w:sz w:val="14"/>
                <w:szCs w:val="14"/>
              </w:rPr>
              <w:t xml:space="preserve">, </w:t>
            </w:r>
            <w:r>
              <w:rPr>
                <w:b/>
                <w:bCs/>
                <w:sz w:val="14"/>
                <w:szCs w:val="14"/>
              </w:rPr>
              <w:t xml:space="preserve">Integration: Good</w:t>
            </w:r>
            <w:r>
              <w:rPr>
                <w:sz w:val="14"/>
                <w:szCs w:val="14"/>
              </w:rPr>
              <w:t xml:space="preserve"> — project + asset lifecycle. CIS is delivered via configuration.</w:t>
            </w:r>
          </w:p>
        </w:tc>
        <w:tc>
          <w:tcPr>
            <w:tcW w:type="dxa" w:w="17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0"/>
            </w:pPr>
            <w:hyperlink w:history="1" r:id="rIdkwdxezspbj-lmbdpebnt1">
              <w:r>
                <w:rPr>
                  <w:color w:val="2E75B6"/>
                  <w:sz w:val="14"/>
                  <w:szCs w:val="14"/>
                  <w:u w:val="single"/>
                </w:rPr>
                <w:t xml:space="preserve">G2</w:t>
              </w:r>
            </w:hyperlink>
          </w:p>
        </w:tc>
      </w:tr>
      <w:tr>
        <w:tc>
          <w:tcPr>
            <w:tcW w:type="dxa" w:w="17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0"/>
            </w:pPr>
            <w:r>
              <w:rPr>
                <w:sz w:val="14"/>
                <w:szCs w:val="14"/>
              </w:rPr>
              <w:t xml:space="preserve">Oracle NetSuite</w:t>
            </w:r>
          </w:p>
        </w:tc>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0"/>
            </w:pPr>
            <w:r>
              <w:rPr>
                <w:sz w:val="14"/>
                <w:szCs w:val="14"/>
              </w:rPr>
              <w:t xml:space="preserve">G2 4.1/5 (3,814 reviews); Capterra 4.1/5.</w:t>
            </w:r>
          </w:p>
        </w:tc>
        <w:tc>
          <w:tcPr>
            <w:tcW w:type="dxa" w:w="35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0"/>
            </w:pPr>
            <w:r>
              <w:rPr>
                <w:b/>
                <w:bCs/>
                <w:sz w:val="14"/>
                <w:szCs w:val="14"/>
              </w:rPr>
              <w:t xml:space="preserve">Integration: Good</w:t>
            </w:r>
            <w:r>
              <w:rPr>
                <w:sz w:val="14"/>
                <w:szCs w:val="14"/>
              </w:rPr>
              <w:t xml:space="preserve"> — SuiteScript and REST/SOAP APIs on a single data model. </w:t>
            </w:r>
            <w:r>
              <w:rPr>
                <w:b/>
                <w:bCs/>
                <w:sz w:val="14"/>
                <w:szCs w:val="14"/>
              </w:rPr>
              <w:t xml:space="preserve">Mobile: Good</w:t>
            </w:r>
            <w:r>
              <w:rPr>
                <w:sz w:val="14"/>
                <w:szCs w:val="14"/>
              </w:rPr>
              <w:t xml:space="preserve"> — any device. </w:t>
            </w:r>
            <w:r>
              <w:rPr>
                <w:b/>
                <w:bCs/>
                <w:sz w:val="14"/>
                <w:szCs w:val="14"/>
              </w:rPr>
              <w:t xml:space="preserve">Support: Good.</w:t>
            </w:r>
            <w:r>
              <w:rPr>
                <w:sz w:val="14"/>
                <w:szCs w:val="14"/>
              </w:rPr>
              <w:t xml:space="preserve"> Not construction-native; CIS/DRC via add-on/config. Year-one typically $100k–$300k.</w:t>
            </w:r>
          </w:p>
        </w:tc>
        <w:tc>
          <w:tcPr>
            <w:tcW w:type="dxa" w:w="17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0"/>
            </w:pPr>
            <w:hyperlink w:history="1" r:id="rIdyo1dc1nu1mrxmv7fsyqxl">
              <w:r>
                <w:rPr>
                  <w:color w:val="2E75B6"/>
                  <w:sz w:val="14"/>
                  <w:szCs w:val="14"/>
                  <w:u w:val="single"/>
                </w:rPr>
                <w:t xml:space="preserve">G2</w:t>
              </w:r>
            </w:hyperlink>
            <w:r>
              <w:rPr>
                <w:color w:val="5B6B7B"/>
                <w:sz w:val="14"/>
                <w:szCs w:val="14"/>
              </w:rPr>
              <w:t xml:space="preserve"> · </w:t>
            </w:r>
            <w:hyperlink w:history="1" r:id="rIdtyzekzesxjsgjhypq2epu">
              <w:r>
                <w:rPr>
                  <w:color w:val="2E75B6"/>
                  <w:sz w:val="14"/>
                  <w:szCs w:val="14"/>
                  <w:u w:val="single"/>
                </w:rPr>
                <w:t xml:space="preserve">Capterra</w:t>
              </w:r>
            </w:hyperlink>
          </w:p>
        </w:tc>
      </w:tr>
      <w:tr>
        <w:tc>
          <w:tcPr>
            <w:tcW w:type="dxa" w:w="17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0"/>
            </w:pPr>
            <w:r>
              <w:rPr>
                <w:sz w:val="14"/>
                <w:szCs w:val="14"/>
              </w:rPr>
              <w:t xml:space="preserve">SAP S/4HANA</w:t>
            </w:r>
          </w:p>
        </w:tc>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0"/>
            </w:pPr>
            <w:r>
              <w:rPr>
                <w:sz w:val="14"/>
                <w:szCs w:val="14"/>
              </w:rPr>
              <w:t xml:space="preserve">G2 4.5/5 (764 reviews); Capterra positive but flags cost/complexity.</w:t>
            </w:r>
          </w:p>
        </w:tc>
        <w:tc>
          <w:tcPr>
            <w:tcW w:type="dxa" w:w="35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0"/>
            </w:pPr>
            <w:r>
              <w:rPr>
                <w:b/>
                <w:bCs/>
                <w:sz w:val="14"/>
                <w:szCs w:val="14"/>
              </w:rPr>
              <w:t xml:space="preserve">Integration: Strong</w:t>
            </w:r>
            <w:r>
              <w:rPr>
                <w:sz w:val="14"/>
                <w:szCs w:val="14"/>
              </w:rPr>
              <w:t xml:space="preserve"> — native cross-process plus Excel/Power BI/Salesforce connectors; high G2 support sub-score. </w:t>
            </w:r>
            <w:r>
              <w:rPr>
                <w:b/>
                <w:bCs/>
                <w:sz w:val="14"/>
                <w:szCs w:val="14"/>
              </w:rPr>
              <w:t xml:space="preserve">Support: Good</w:t>
            </w:r>
            <w:r>
              <w:rPr>
                <w:sz w:val="14"/>
                <w:szCs w:val="14"/>
              </w:rPr>
              <w:t xml:space="preserve"> (SI-dependent). </w:t>
            </w:r>
            <w:r>
              <w:rPr>
                <w:b/>
                <w:bCs/>
                <w:sz w:val="14"/>
                <w:szCs w:val="14"/>
              </w:rPr>
              <w:t xml:space="preserve">Mobile: Good</w:t>
            </w:r>
            <w:r>
              <w:rPr>
                <w:sz w:val="14"/>
                <w:szCs w:val="14"/>
              </w:rPr>
              <w:t xml:space="preserve"> (Fiori). Very high cost/complexity; construction via config.</w:t>
            </w:r>
          </w:p>
        </w:tc>
        <w:tc>
          <w:tcPr>
            <w:tcW w:type="dxa" w:w="17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0"/>
            </w:pPr>
            <w:hyperlink w:history="1" r:id="rId0qocehwfvom7_d3xudrl4">
              <w:r>
                <w:rPr>
                  <w:color w:val="2E75B6"/>
                  <w:sz w:val="14"/>
                  <w:szCs w:val="14"/>
                  <w:u w:val="single"/>
                </w:rPr>
                <w:t xml:space="preserve">G2</w:t>
              </w:r>
            </w:hyperlink>
            <w:r>
              <w:rPr>
                <w:color w:val="5B6B7B"/>
                <w:sz w:val="14"/>
                <w:szCs w:val="14"/>
              </w:rPr>
              <w:t xml:space="preserve"> · </w:t>
            </w:r>
            <w:hyperlink w:history="1" r:id="rIdfwcczp3d5s5kx1qeajlpn">
              <w:r>
                <w:rPr>
                  <w:color w:val="2E75B6"/>
                  <w:sz w:val="14"/>
                  <w:szCs w:val="14"/>
                  <w:u w:val="single"/>
                </w:rPr>
                <w:t xml:space="preserve">Capterra</w:t>
              </w:r>
            </w:hyperlink>
          </w:p>
        </w:tc>
      </w:tr>
      <w:tr>
        <w:tc>
          <w:tcPr>
            <w:tcW w:type="dxa" w:w="17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0"/>
            </w:pPr>
            <w:r>
              <w:rPr>
                <w:sz w:val="14"/>
                <w:szCs w:val="14"/>
              </w:rPr>
              <w:t xml:space="preserve">Procore (+ finance ERP)</w:t>
            </w:r>
          </w:p>
        </w:tc>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0"/>
            </w:pPr>
            <w:r>
              <w:rPr>
                <w:sz w:val="14"/>
                <w:szCs w:val="14"/>
              </w:rPr>
              <w:t xml:space="preserve">G2 4.6/5 (4,092 reviews) — strongest PM ratings in the set.</w:t>
            </w:r>
          </w:p>
        </w:tc>
        <w:tc>
          <w:tcPr>
            <w:tcW w:type="dxa" w:w="35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0"/>
            </w:pPr>
            <w:r>
              <w:rPr>
                <w:b/>
                <w:bCs/>
                <w:sz w:val="14"/>
                <w:szCs w:val="14"/>
              </w:rPr>
              <w:t xml:space="preserve">Mobile: Strong</w:t>
            </w:r>
            <w:r>
              <w:rPr>
                <w:sz w:val="14"/>
                <w:szCs w:val="14"/>
              </w:rPr>
              <w:t xml:space="preserve"> — market-leading site app. </w:t>
            </w:r>
            <w:r>
              <w:rPr>
                <w:b/>
                <w:bCs/>
                <w:sz w:val="14"/>
                <w:szCs w:val="14"/>
              </w:rPr>
              <w:t xml:space="preserve">Integration: Strong</w:t>
            </w:r>
            <w:r>
              <w:rPr>
                <w:sz w:val="14"/>
                <w:szCs w:val="14"/>
              </w:rPr>
              <w:t xml:space="preserve"> — 100+ accounting integrations / App Marketplace. </w:t>
            </w:r>
            <w:r>
              <w:rPr>
                <w:b/>
                <w:bCs/>
                <w:sz w:val="14"/>
                <w:szCs w:val="14"/>
              </w:rPr>
              <w:t xml:space="preserve">Support: Good.</w:t>
            </w:r>
            <w:r>
              <w:rPr>
                <w:sz w:val="14"/>
                <w:szCs w:val="14"/>
              </w:rPr>
              <w:t xml:space="preserve"> Not a finance ERP — needs an accounting backbone.</w:t>
            </w:r>
          </w:p>
        </w:tc>
        <w:tc>
          <w:tcPr>
            <w:tcW w:type="dxa" w:w="17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0"/>
            </w:pPr>
            <w:hyperlink w:history="1" r:id="rId2l7amlwbolhbpwo9wslhd">
              <w:r>
                <w:rPr>
                  <w:color w:val="2E75B6"/>
                  <w:sz w:val="14"/>
                  <w:szCs w:val="14"/>
                  <w:u w:val="single"/>
                </w:rPr>
                <w:t xml:space="preserve">G2</w:t>
              </w:r>
            </w:hyperlink>
          </w:p>
        </w:tc>
      </w:tr>
    </w:tbl>
    <w:p>
      <w:r>
        <w:br w:type="page"/>
      </w:r>
    </w:p>
    <w:p>
      <w:pPr>
        <w:pStyle w:val="Heading1"/>
      </w:pPr>
      <w:r>
        <w:t xml:space="preserve">Chapter 5 — Shortlists and the size-by-subsector decision matrix</w:t>
      </w:r>
    </w:p>
    <w:p>
      <w:pPr>
        <w:spacing w:after="140" w:line="276"/>
      </w:pPr>
      <w:r>
        <w:rPr>
          <w:color w:val="5B6B7B"/>
          <w:sz w:val="19"/>
          <w:szCs w:val="19"/>
        </w:rPr>
        <w:t xml:space="preserve">Use these shortlists to build a candidate longlist, then narrow to three using the process in Chapter 6. Ordering within each list runs broadly from the lighter to the heavier end; it is not a strict ranking, because the best choice depends on the intersection of your size and subsector.</w:t>
      </w:r>
    </w:p>
    <w:p>
      <w:pPr>
        <w:spacing w:after="140" w:line="276"/>
      </w:pPr>
      <w:r>
        <w:rPr>
          <w:color w:val="5B6B7B"/>
          <w:sz w:val="18"/>
          <w:szCs w:val="18"/>
        </w:rPr>
        <w:t xml:space="preserve">★</w:t>
      </w:r>
      <w:r>
        <w:rPr>
          <w:color w:val="5B6B7B"/>
          <w:sz w:val="18"/>
          <w:szCs w:val="18"/>
        </w:rPr>
        <w:t xml:space="preserve"> marks the option most frequently shortlisted for that segment — a sensible default starting point to anchor your evaluation, not a recommendation.</w:t>
      </w:r>
    </w:p>
    <w:p>
      <w:pPr>
        <w:pStyle w:val="Heading2"/>
      </w:pPr>
      <w:r>
        <w:t xml:space="preserve">5.1 By size — micro / small (up to ~£10m)</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50"/>
        <w:gridCol w:w="2050"/>
        <w:gridCol w:w="3576"/>
        <w:gridCol w:w="1350"/>
      </w:tblGrid>
      <w:tr>
        <w:trPr>
          <w:tblHeader/>
        </w:trPr>
        <w:tc>
          <w:tcPr>
            <w:tcW w:type="dxa" w:w="205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Operator</w:t>
            </w:r>
          </w:p>
        </w:tc>
        <w:tc>
          <w:tcPr>
            <w:tcW w:type="dxa" w:w="205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Platform / product</w:t>
            </w:r>
          </w:p>
        </w:tc>
        <w:tc>
          <w:tcPr>
            <w:tcW w:type="dxa" w:w="3576"/>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Best fit</w:t>
            </w:r>
          </w:p>
        </w:tc>
        <w:tc>
          <w:tcPr>
            <w:tcW w:type="dxa" w:w="135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Indicative yr-1</w:t>
            </w:r>
          </w:p>
        </w:tc>
      </w:tr>
      <w:tr>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Xero / QuickBooks + CIS</w:t>
            </w:r>
          </w:p>
        </w:tc>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Cloud accounting</w:t>
            </w:r>
          </w:p>
        </w:tc>
        <w:tc>
          <w:tcPr>
            <w:tcW w:type="dxa" w:w="357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Micro firms needing CIS-aware bookkeeping</w:t>
            </w:r>
          </w:p>
        </w:tc>
        <w:tc>
          <w:tcPr>
            <w:tcW w:type="dxa" w:w="13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£0.5k–£3k</w:t>
            </w:r>
          </w:p>
        </w:tc>
      </w:tr>
      <w:tr>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Tradify</w:t>
            </w:r>
          </w:p>
        </w:tc>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Job management</w:t>
            </w:r>
          </w:p>
        </w:tc>
        <w:tc>
          <w:tcPr>
            <w:tcW w:type="dxa" w:w="357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Small trades; quotes, jobs, timesheets</w:t>
            </w:r>
          </w:p>
        </w:tc>
        <w:tc>
          <w:tcPr>
            <w:tcW w:type="dxa" w:w="13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£0.5k–£3k</w:t>
            </w:r>
          </w:p>
        </w:tc>
      </w:tr>
      <w:tr>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Powered Now</w:t>
            </w:r>
          </w:p>
        </w:tc>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Mobile job mgmt</w:t>
            </w:r>
          </w:p>
        </w:tc>
        <w:tc>
          <w:tcPr>
            <w:tcW w:type="dxa" w:w="357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Offline-first field trades; VAT &amp; DRC</w:t>
            </w:r>
          </w:p>
        </w:tc>
        <w:tc>
          <w:tcPr>
            <w:tcW w:type="dxa" w:w="13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£1k–£4k</w:t>
            </w:r>
          </w:p>
        </w:tc>
      </w:tr>
      <w:tr>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Fergus</w:t>
            </w:r>
          </w:p>
        </w:tc>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Job workflow</w:t>
            </w:r>
          </w:p>
        </w:tc>
        <w:tc>
          <w:tcPr>
            <w:tcW w:type="dxa" w:w="357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Electrical &amp; plumbing job flow</w:t>
            </w:r>
          </w:p>
        </w:tc>
        <w:tc>
          <w:tcPr>
            <w:tcW w:type="dxa" w:w="13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£1k–£5k</w:t>
            </w:r>
          </w:p>
        </w:tc>
      </w:tr>
      <w:tr>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 </w:t>
            </w:r>
            <w:r>
              <w:rPr>
                <w:b/>
                <w:bCs/>
                <w:sz w:val="16"/>
                <w:szCs w:val="16"/>
              </w:rPr>
              <w:t xml:space="preserve">Eque2 Construction Manager</w:t>
            </w:r>
          </w:p>
        </w:tc>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Cloud job costing</w:t>
            </w:r>
          </w:p>
        </w:tc>
        <w:tc>
          <w:tcPr>
            <w:tcW w:type="dxa" w:w="357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Small contractors up to ~£2m</w:t>
            </w:r>
          </w:p>
        </w:tc>
        <w:tc>
          <w:tcPr>
            <w:tcW w:type="dxa" w:w="13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£2k–£8k</w:t>
            </w:r>
          </w:p>
        </w:tc>
      </w:tr>
      <w:tr>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Site Samurai</w:t>
            </w:r>
          </w:p>
        </w:tc>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Project-first SME</w:t>
            </w:r>
          </w:p>
        </w:tc>
        <w:tc>
          <w:tcPr>
            <w:tcW w:type="dxa" w:w="357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Subcontractors needing CIS + AfP, unlimited users</w:t>
            </w:r>
          </w:p>
        </w:tc>
        <w:tc>
          <w:tcPr>
            <w:tcW w:type="dxa" w:w="13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£1k–£8k</w:t>
            </w:r>
          </w:p>
        </w:tc>
      </w:tr>
      <w:tr>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Sage 50 + Construct Lite</w:t>
            </w:r>
          </w:p>
        </w:tc>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Accounts + costing</w:t>
            </w:r>
          </w:p>
        </w:tc>
        <w:tc>
          <w:tcPr>
            <w:tcW w:type="dxa" w:w="357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SME builders wanting Sage + job costing</w:t>
            </w:r>
          </w:p>
        </w:tc>
        <w:tc>
          <w:tcPr>
            <w:tcW w:type="dxa" w:w="13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£3k–£12k</w:t>
            </w:r>
          </w:p>
        </w:tc>
      </w:tr>
      <w:tr>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Joblogic (entry)</w:t>
            </w:r>
          </w:p>
        </w:tc>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Field service</w:t>
            </w:r>
          </w:p>
        </w:tc>
        <w:tc>
          <w:tcPr>
            <w:tcW w:type="dxa" w:w="357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Small maintenance/M&amp;E with assets</w:t>
            </w:r>
          </w:p>
        </w:tc>
        <w:tc>
          <w:tcPr>
            <w:tcW w:type="dxa" w:w="13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£3k–£12k</w:t>
            </w:r>
          </w:p>
        </w:tc>
      </w:tr>
      <w:tr>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Xpedeon (entry)</w:t>
            </w:r>
          </w:p>
        </w:tc>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Construction ERP</w:t>
            </w:r>
          </w:p>
        </w:tc>
        <w:tc>
          <w:tcPr>
            <w:tcW w:type="dxa" w:w="357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Ambitious small firms wanting a path up</w:t>
            </w:r>
          </w:p>
        </w:tc>
        <w:tc>
          <w:tcPr>
            <w:tcW w:type="dxa" w:w="13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£5k–£15k</w:t>
            </w:r>
          </w:p>
        </w:tc>
      </w:tr>
      <w:tr>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Dynamics 365 BC</w:t>
            </w:r>
          </w:p>
        </w:tc>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Cloud ERP (light)</w:t>
            </w:r>
          </w:p>
        </w:tc>
        <w:tc>
          <w:tcPr>
            <w:tcW w:type="dxa" w:w="357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Microsoft-centric small firms + add-ons</w:t>
            </w:r>
          </w:p>
        </w:tc>
        <w:tc>
          <w:tcPr>
            <w:tcW w:type="dxa" w:w="13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£8k–£25k</w:t>
            </w:r>
          </w:p>
        </w:tc>
      </w:tr>
    </w:tbl>
    <w:p>
      <w:pPr>
        <w:pStyle w:val="Heading2"/>
      </w:pPr>
      <w:r>
        <w:t xml:space="preserve">5.2 By size — medium (~£10m–£50m)</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50"/>
        <w:gridCol w:w="2050"/>
        <w:gridCol w:w="3576"/>
        <w:gridCol w:w="1350"/>
      </w:tblGrid>
      <w:tr>
        <w:trPr>
          <w:tblHeader/>
        </w:trPr>
        <w:tc>
          <w:tcPr>
            <w:tcW w:type="dxa" w:w="205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Operator</w:t>
            </w:r>
          </w:p>
        </w:tc>
        <w:tc>
          <w:tcPr>
            <w:tcW w:type="dxa" w:w="205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Platform / product</w:t>
            </w:r>
          </w:p>
        </w:tc>
        <w:tc>
          <w:tcPr>
            <w:tcW w:type="dxa" w:w="3576"/>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Best fit</w:t>
            </w:r>
          </w:p>
        </w:tc>
        <w:tc>
          <w:tcPr>
            <w:tcW w:type="dxa" w:w="135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Indicative yr-1</w:t>
            </w:r>
          </w:p>
        </w:tc>
      </w:tr>
      <w:tr>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 </w:t>
            </w:r>
            <w:r>
              <w:rPr>
                <w:b/>
                <w:bCs/>
                <w:sz w:val="16"/>
                <w:szCs w:val="16"/>
              </w:rPr>
              <w:t xml:space="preserve">Eque2 Construct for Sage</w:t>
            </w:r>
          </w:p>
        </w:tc>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Sage + commercial</w:t>
            </w:r>
          </w:p>
        </w:tc>
        <w:tc>
          <w:tcPr>
            <w:tcW w:type="dxa" w:w="357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Contractors to ~£25–£40m; most-adopted UK costing</w:t>
            </w:r>
          </w:p>
        </w:tc>
        <w:tc>
          <w:tcPr>
            <w:tcW w:type="dxa" w:w="13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£25k–£70k</w:t>
            </w:r>
          </w:p>
        </w:tc>
      </w:tr>
      <w:tr>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Integrity Evolution Mx</w:t>
            </w:r>
          </w:p>
        </w:tc>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Construction ERP</w:t>
            </w:r>
          </w:p>
        </w:tc>
        <w:tc>
          <w:tcPr>
            <w:tcW w:type="dxa" w:w="357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Mid-market contractors wanting all-in-one UK suite</w:t>
            </w:r>
          </w:p>
        </w:tc>
        <w:tc>
          <w:tcPr>
            <w:tcW w:type="dxa" w:w="13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£25k–£80k</w:t>
            </w:r>
          </w:p>
        </w:tc>
      </w:tr>
      <w:tr>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Sage 200 / Intacct</w:t>
            </w:r>
          </w:p>
        </w:tc>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Mid-market finance</w:t>
            </w:r>
          </w:p>
        </w:tc>
        <w:tc>
          <w:tcPr>
            <w:tcW w:type="dxa" w:w="357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Subcontractors/specialists; native CIS &amp; DRC</w:t>
            </w:r>
          </w:p>
        </w:tc>
        <w:tc>
          <w:tcPr>
            <w:tcW w:type="dxa" w:w="13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£15k–£100k</w:t>
            </w:r>
          </w:p>
        </w:tc>
      </w:tr>
      <w:tr>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Xpedeon</w:t>
            </w:r>
          </w:p>
        </w:tc>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Construction ERP</w:t>
            </w:r>
          </w:p>
        </w:tc>
        <w:tc>
          <w:tcPr>
            <w:tcW w:type="dxa" w:w="357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Estimating-to-costing in one platform</w:t>
            </w:r>
          </w:p>
        </w:tc>
        <w:tc>
          <w:tcPr>
            <w:tcW w:type="dxa" w:w="13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£25k–£90k</w:t>
            </w:r>
          </w:p>
        </w:tc>
      </w:tr>
      <w:tr>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Causeway</w:t>
            </w:r>
          </w:p>
        </w:tc>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Commercial mgmt</w:t>
            </w:r>
          </w:p>
        </w:tc>
        <w:tc>
          <w:tcPr>
            <w:tcW w:type="dxa" w:w="357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QS-led commercial management &amp; estimating</w:t>
            </w:r>
          </w:p>
        </w:tc>
        <w:tc>
          <w:tcPr>
            <w:tcW w:type="dxa" w:w="13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£30k–£100k</w:t>
            </w:r>
          </w:p>
        </w:tc>
      </w:tr>
      <w:tr>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Acumatica Construction</w:t>
            </w:r>
          </w:p>
        </w:tc>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Cloud ERP</w:t>
            </w:r>
          </w:p>
        </w:tc>
        <w:tc>
          <w:tcPr>
            <w:tcW w:type="dxa" w:w="357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Mid firms wanting modern cloud, unlimited users</w:t>
            </w:r>
          </w:p>
        </w:tc>
        <w:tc>
          <w:tcPr>
            <w:tcW w:type="dxa" w:w="13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£50k–£150k</w:t>
            </w:r>
          </w:p>
        </w:tc>
      </w:tr>
      <w:tr>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Eque2 EVision (D365 BC)</w:t>
            </w:r>
          </w:p>
        </w:tc>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Cloud construction ERP</w:t>
            </w:r>
          </w:p>
        </w:tc>
        <w:tc>
          <w:tcPr>
            <w:tcW w:type="dxa" w:w="357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Firms £25m+ wanting cloud ERP + construction apps</w:t>
            </w:r>
          </w:p>
        </w:tc>
        <w:tc>
          <w:tcPr>
            <w:tcW w:type="dxa" w:w="13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£40k–£120k</w:t>
            </w:r>
          </w:p>
        </w:tc>
      </w:tr>
      <w:tr>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Access Coins / Coins</w:t>
            </w:r>
          </w:p>
        </w:tc>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Construction ERP</w:t>
            </w:r>
          </w:p>
        </w:tc>
        <w:tc>
          <w:tcPr>
            <w:tcW w:type="dxa" w:w="357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Mid-to-large going construction-native</w:t>
            </w:r>
          </w:p>
        </w:tc>
        <w:tc>
          <w:tcPr>
            <w:tcW w:type="dxa" w:w="13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£40k–£150k</w:t>
            </w:r>
          </w:p>
        </w:tc>
      </w:tr>
      <w:tr>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Trimble Viewpoint (Spectrum)</w:t>
            </w:r>
          </w:p>
        </w:tc>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Construction ERP</w:t>
            </w:r>
          </w:p>
        </w:tc>
        <w:tc>
          <w:tcPr>
            <w:tcW w:type="dxa" w:w="357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Mid contractors wanting cloud job-cost ERP</w:t>
            </w:r>
          </w:p>
        </w:tc>
        <w:tc>
          <w:tcPr>
            <w:tcW w:type="dxa" w:w="13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£40k–£120k</w:t>
            </w:r>
          </w:p>
        </w:tc>
      </w:tr>
      <w:tr>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Oracle NetSuite</w:t>
            </w:r>
          </w:p>
        </w:tc>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Cloud ERP</w:t>
            </w:r>
          </w:p>
        </w:tc>
        <w:tc>
          <w:tcPr>
            <w:tcW w:type="dxa" w:w="357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Growing/diversified firms; multi-entity cloud</w:t>
            </w:r>
          </w:p>
        </w:tc>
        <w:tc>
          <w:tcPr>
            <w:tcW w:type="dxa" w:w="13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£50k–£150k</w:t>
            </w:r>
          </w:p>
        </w:tc>
      </w:tr>
    </w:tbl>
    <w:p>
      <w:pPr>
        <w:pStyle w:val="Heading2"/>
      </w:pPr>
      <w:r>
        <w:t xml:space="preserve">5.3 By size — large (~£50m–£250m)</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50"/>
        <w:gridCol w:w="2050"/>
        <w:gridCol w:w="3576"/>
        <w:gridCol w:w="1350"/>
      </w:tblGrid>
      <w:tr>
        <w:trPr>
          <w:tblHeader/>
        </w:trPr>
        <w:tc>
          <w:tcPr>
            <w:tcW w:type="dxa" w:w="205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Operator</w:t>
            </w:r>
          </w:p>
        </w:tc>
        <w:tc>
          <w:tcPr>
            <w:tcW w:type="dxa" w:w="205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Platform / product</w:t>
            </w:r>
          </w:p>
        </w:tc>
        <w:tc>
          <w:tcPr>
            <w:tcW w:type="dxa" w:w="3576"/>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Best fit</w:t>
            </w:r>
          </w:p>
        </w:tc>
        <w:tc>
          <w:tcPr>
            <w:tcW w:type="dxa" w:w="135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Indicative yr-1</w:t>
            </w:r>
          </w:p>
        </w:tc>
      </w:tr>
      <w:tr>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 </w:t>
            </w:r>
            <w:r>
              <w:rPr>
                <w:b/>
                <w:bCs/>
                <w:sz w:val="16"/>
                <w:szCs w:val="16"/>
              </w:rPr>
              <w:t xml:space="preserve">COINS</w:t>
            </w:r>
          </w:p>
        </w:tc>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Construction ERP</w:t>
            </w:r>
          </w:p>
        </w:tc>
        <w:tc>
          <w:tcPr>
            <w:tcW w:type="dxa" w:w="357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Main contractors &amp; housebuilders; UK depth</w:t>
            </w:r>
          </w:p>
        </w:tc>
        <w:tc>
          <w:tcPr>
            <w:tcW w:type="dxa" w:w="13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£80k–£250k</w:t>
            </w:r>
          </w:p>
        </w:tc>
      </w:tr>
      <w:tr>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Access Coins Evo</w:t>
            </w:r>
          </w:p>
        </w:tc>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Construction ERP</w:t>
            </w:r>
          </w:p>
        </w:tc>
        <w:tc>
          <w:tcPr>
            <w:tcW w:type="dxa" w:w="357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Vendor-led; AI layer; integrated payroll &amp; field</w:t>
            </w:r>
          </w:p>
        </w:tc>
        <w:tc>
          <w:tcPr>
            <w:tcW w:type="dxa" w:w="13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£80k–£250k</w:t>
            </w:r>
          </w:p>
        </w:tc>
      </w:tr>
      <w:tr>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Trimble Viewpoint (Vista)</w:t>
            </w:r>
          </w:p>
        </w:tc>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Construction ERP</w:t>
            </w:r>
          </w:p>
        </w:tc>
        <w:tc>
          <w:tcPr>
            <w:tcW w:type="dxa" w:w="357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Deep job-cost &amp; operations integration</w:t>
            </w:r>
          </w:p>
        </w:tc>
        <w:tc>
          <w:tcPr>
            <w:tcW w:type="dxa" w:w="13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£80k–£250k</w:t>
            </w:r>
          </w:p>
        </w:tc>
      </w:tr>
      <w:tr>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Eque2 EVision (D365 BC)</w:t>
            </w:r>
          </w:p>
        </w:tc>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Cloud construction ERP</w:t>
            </w:r>
          </w:p>
        </w:tc>
        <w:tc>
          <w:tcPr>
            <w:tcW w:type="dxa" w:w="357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Large contractors/housebuilders on Microsoft</w:t>
            </w:r>
          </w:p>
        </w:tc>
        <w:tc>
          <w:tcPr>
            <w:tcW w:type="dxa" w:w="13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£70k–£200k</w:t>
            </w:r>
          </w:p>
        </w:tc>
      </w:tr>
      <w:tr>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Microsoft Dynamics 365 F&amp;O</w:t>
            </w:r>
          </w:p>
        </w:tc>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Enterprise ERP</w:t>
            </w:r>
          </w:p>
        </w:tc>
        <w:tc>
          <w:tcPr>
            <w:tcW w:type="dxa" w:w="357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Groups wanting Microsoft + construction ISVs</w:t>
            </w:r>
          </w:p>
        </w:tc>
        <w:tc>
          <w:tcPr>
            <w:tcW w:type="dxa" w:w="13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£150k–£500k</w:t>
            </w:r>
          </w:p>
        </w:tc>
      </w:tr>
      <w:tr>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Oracle NetSuite</w:t>
            </w:r>
          </w:p>
        </w:tc>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Cloud ERP</w:t>
            </w:r>
          </w:p>
        </w:tc>
        <w:tc>
          <w:tcPr>
            <w:tcW w:type="dxa" w:w="357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Multi-entity groups, international subsidiaries</w:t>
            </w:r>
          </w:p>
        </w:tc>
        <w:tc>
          <w:tcPr>
            <w:tcW w:type="dxa" w:w="13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£80k–£250k</w:t>
            </w:r>
          </w:p>
        </w:tc>
      </w:tr>
      <w:tr>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IFS Cloud</w:t>
            </w:r>
          </w:p>
        </w:tc>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Project &amp; asset ERP</w:t>
            </w:r>
          </w:p>
        </w:tc>
        <w:tc>
          <w:tcPr>
            <w:tcW w:type="dxa" w:w="357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Contractors who also manage built assets / FM</w:t>
            </w:r>
          </w:p>
        </w:tc>
        <w:tc>
          <w:tcPr>
            <w:tcW w:type="dxa" w:w="13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£150k–£400k</w:t>
            </w:r>
          </w:p>
        </w:tc>
      </w:tr>
      <w:tr>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CMiC</w:t>
            </w:r>
          </w:p>
        </w:tc>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Construction ERP</w:t>
            </w:r>
          </w:p>
        </w:tc>
        <w:tc>
          <w:tcPr>
            <w:tcW w:type="dxa" w:w="357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Single-database integrated cost &amp; controls</w:t>
            </w:r>
          </w:p>
        </w:tc>
        <w:tc>
          <w:tcPr>
            <w:tcW w:type="dxa" w:w="13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£100k–£350k</w:t>
            </w:r>
          </w:p>
        </w:tc>
      </w:tr>
      <w:tr>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Causeway (enterprise)</w:t>
            </w:r>
          </w:p>
        </w:tc>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Commercial suite</w:t>
            </w:r>
          </w:p>
        </w:tc>
        <w:tc>
          <w:tcPr>
            <w:tcW w:type="dxa" w:w="357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Commercial-management-led large contractors</w:t>
            </w:r>
          </w:p>
        </w:tc>
        <w:tc>
          <w:tcPr>
            <w:tcW w:type="dxa" w:w="13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£80k–£250k</w:t>
            </w:r>
          </w:p>
        </w:tc>
      </w:tr>
      <w:tr>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Sage Intacct (multi-entity)</w:t>
            </w:r>
          </w:p>
        </w:tc>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Cloud finance core</w:t>
            </w:r>
          </w:p>
        </w:tc>
        <w:tc>
          <w:tcPr>
            <w:tcW w:type="dxa" w:w="357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Finance backbone + construction add-ons</w:t>
            </w:r>
          </w:p>
        </w:tc>
        <w:tc>
          <w:tcPr>
            <w:tcW w:type="dxa" w:w="13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£60k–£180k</w:t>
            </w:r>
          </w:p>
        </w:tc>
      </w:tr>
    </w:tbl>
    <w:p>
      <w:pPr>
        <w:pStyle w:val="Heading2"/>
      </w:pPr>
      <w:r>
        <w:t xml:space="preserve">5.4 By size — enterprise / Tier 1 (£250m+)</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50"/>
        <w:gridCol w:w="2050"/>
        <w:gridCol w:w="3576"/>
        <w:gridCol w:w="1350"/>
      </w:tblGrid>
      <w:tr>
        <w:trPr>
          <w:tblHeader/>
        </w:trPr>
        <w:tc>
          <w:tcPr>
            <w:tcW w:type="dxa" w:w="205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Operator</w:t>
            </w:r>
          </w:p>
        </w:tc>
        <w:tc>
          <w:tcPr>
            <w:tcW w:type="dxa" w:w="205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Platform / product</w:t>
            </w:r>
          </w:p>
        </w:tc>
        <w:tc>
          <w:tcPr>
            <w:tcW w:type="dxa" w:w="3576"/>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Best fit</w:t>
            </w:r>
          </w:p>
        </w:tc>
        <w:tc>
          <w:tcPr>
            <w:tcW w:type="dxa" w:w="135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Indicative yr-1</w:t>
            </w:r>
          </w:p>
        </w:tc>
      </w:tr>
      <w:tr>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SAP S/4HANA</w:t>
            </w:r>
          </w:p>
        </w:tc>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Enterprise ERP</w:t>
            </w:r>
          </w:p>
        </w:tc>
        <w:tc>
          <w:tcPr>
            <w:tcW w:type="dxa" w:w="357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FTSE-scale contractors; consolidation at scale</w:t>
            </w:r>
          </w:p>
        </w:tc>
        <w:tc>
          <w:tcPr>
            <w:tcW w:type="dxa" w:w="13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£500k–£5m+</w:t>
            </w:r>
          </w:p>
        </w:tc>
      </w:tr>
      <w:tr>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Oracle ERP Cloud (Fusion)</w:t>
            </w:r>
          </w:p>
        </w:tc>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Enterprise ERP</w:t>
            </w:r>
          </w:p>
        </w:tc>
        <w:tc>
          <w:tcPr>
            <w:tcW w:type="dxa" w:w="357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International groups; + Primavera P6 scheduling</w:t>
            </w:r>
          </w:p>
        </w:tc>
        <w:tc>
          <w:tcPr>
            <w:tcW w:type="dxa" w:w="13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£400k–£3m+</w:t>
            </w:r>
          </w:p>
        </w:tc>
      </w:tr>
      <w:tr>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IFS Cloud</w:t>
            </w:r>
          </w:p>
        </w:tc>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Project &amp; asset ERP</w:t>
            </w:r>
          </w:p>
        </w:tc>
        <w:tc>
          <w:tcPr>
            <w:tcW w:type="dxa" w:w="357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Engineering/asset-heavy Tier 1s; UK-HQ</w:t>
            </w:r>
          </w:p>
        </w:tc>
        <w:tc>
          <w:tcPr>
            <w:tcW w:type="dxa" w:w="13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£300k–£2m+</w:t>
            </w:r>
          </w:p>
        </w:tc>
      </w:tr>
      <w:tr>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Microsoft Dynamics 365 F&amp;O</w:t>
            </w:r>
          </w:p>
        </w:tc>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Enterprise ERP</w:t>
            </w:r>
          </w:p>
        </w:tc>
        <w:tc>
          <w:tcPr>
            <w:tcW w:type="dxa" w:w="357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Microsoft-aligned majors + ISV construction layer</w:t>
            </w:r>
          </w:p>
        </w:tc>
        <w:tc>
          <w:tcPr>
            <w:tcW w:type="dxa" w:w="13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£200k–£1.5m+</w:t>
            </w:r>
          </w:p>
        </w:tc>
      </w:tr>
      <w:tr>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 </w:t>
            </w:r>
            <w:r>
              <w:rPr>
                <w:b/>
                <w:bCs/>
                <w:sz w:val="16"/>
                <w:szCs w:val="16"/>
              </w:rPr>
              <w:t xml:space="preserve">COINS (enterprise)</w:t>
            </w:r>
          </w:p>
        </w:tc>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Construction ERP</w:t>
            </w:r>
          </w:p>
        </w:tc>
        <w:tc>
          <w:tcPr>
            <w:tcW w:type="dxa" w:w="357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Tier 1 main contractors &amp; major housebuilders</w:t>
            </w:r>
          </w:p>
        </w:tc>
        <w:tc>
          <w:tcPr>
            <w:tcW w:type="dxa" w:w="13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£250k–£1.5m+</w:t>
            </w:r>
          </w:p>
        </w:tc>
      </w:tr>
      <w:tr>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Oracle NetSuite (OneWorld)</w:t>
            </w:r>
          </w:p>
        </w:tc>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Cloud ERP</w:t>
            </w:r>
          </w:p>
        </w:tc>
        <w:tc>
          <w:tcPr>
            <w:tcW w:type="dxa" w:w="357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Large multi-entity groups consolidating subsidiaries</w:t>
            </w:r>
          </w:p>
        </w:tc>
        <w:tc>
          <w:tcPr>
            <w:tcW w:type="dxa" w:w="13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£200k–£800k</w:t>
            </w:r>
          </w:p>
        </w:tc>
      </w:tr>
      <w:tr>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Trimble Viewpoint (Vista)</w:t>
            </w:r>
          </w:p>
        </w:tc>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Construction ERP</w:t>
            </w:r>
          </w:p>
        </w:tc>
        <w:tc>
          <w:tcPr>
            <w:tcW w:type="dxa" w:w="357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Large operations-led contractors</w:t>
            </w:r>
          </w:p>
        </w:tc>
        <w:tc>
          <w:tcPr>
            <w:tcW w:type="dxa" w:w="13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£150k–£600k</w:t>
            </w:r>
          </w:p>
        </w:tc>
      </w:tr>
      <w:tr>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CMiC</w:t>
            </w:r>
          </w:p>
        </w:tc>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Construction ERP</w:t>
            </w:r>
          </w:p>
        </w:tc>
        <w:tc>
          <w:tcPr>
            <w:tcW w:type="dxa" w:w="357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Large integrated single-database deployments</w:t>
            </w:r>
          </w:p>
        </w:tc>
        <w:tc>
          <w:tcPr>
            <w:tcW w:type="dxa" w:w="13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£150k–£600k</w:t>
            </w:r>
          </w:p>
        </w:tc>
      </w:tr>
      <w:tr>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Causeway (enterprise)</w:t>
            </w:r>
          </w:p>
        </w:tc>
        <w:tc>
          <w:tcPr>
            <w:tcW w:type="dxa" w:w="20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Commercial suite</w:t>
            </w:r>
          </w:p>
        </w:tc>
        <w:tc>
          <w:tcPr>
            <w:tcW w:type="dxa" w:w="357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Commercial &amp; supply-chain management at scale</w:t>
            </w:r>
          </w:p>
        </w:tc>
        <w:tc>
          <w:tcPr>
            <w:tcW w:type="dxa" w:w="135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£150k–£500k</w:t>
            </w:r>
          </w:p>
        </w:tc>
      </w:tr>
      <w:tr>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Procore (enterprise) + ERP</w:t>
            </w:r>
          </w:p>
        </w:tc>
        <w:tc>
          <w:tcPr>
            <w:tcW w:type="dxa" w:w="20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PM platform</w:t>
            </w:r>
          </w:p>
        </w:tc>
        <w:tc>
          <w:tcPr>
            <w:tcW w:type="dxa" w:w="357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Group-wide project controls over a finance ERP</w:t>
            </w:r>
          </w:p>
        </w:tc>
        <w:tc>
          <w:tcPr>
            <w:tcW w:type="dxa" w:w="135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£100k–£500k</w:t>
            </w:r>
          </w:p>
        </w:tc>
      </w:tr>
    </w:tbl>
    <w:p>
      <w:pPr>
        <w:pStyle w:val="Heading2"/>
      </w:pPr>
      <w:r>
        <w:t xml:space="preserve">5.5 By subsector</w:t>
      </w:r>
    </w:p>
    <w:p>
      <w:pPr>
        <w:pStyle w:val="Heading3"/>
      </w:pPr>
      <w:r>
        <w:t xml:space="preserve">Main contracting (building)</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300"/>
        <w:gridCol w:w="2300"/>
        <w:gridCol w:w="4426"/>
      </w:tblGrid>
      <w:tr>
        <w:trPr>
          <w:tblHeader/>
        </w:trPr>
        <w:tc>
          <w:tcPr>
            <w:tcW w:type="dxa" w:w="230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Operator</w:t>
            </w:r>
          </w:p>
        </w:tc>
        <w:tc>
          <w:tcPr>
            <w:tcW w:type="dxa" w:w="230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Platform / product</w:t>
            </w:r>
          </w:p>
        </w:tc>
        <w:tc>
          <w:tcPr>
            <w:tcW w:type="dxa" w:w="4426"/>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Why it fits</w:t>
            </w:r>
          </w:p>
        </w:tc>
      </w:tr>
      <w:tr>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 </w:t>
            </w:r>
            <w:r>
              <w:rPr>
                <w:b/>
                <w:bCs/>
                <w:sz w:val="16"/>
                <w:szCs w:val="16"/>
              </w:rPr>
              <w:t xml:space="preserve">COINS</w:t>
            </w:r>
          </w:p>
        </w:tc>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Construction ERP</w:t>
            </w:r>
          </w:p>
        </w:tc>
        <w:tc>
          <w:tcPr>
            <w:tcW w:type="dxa" w:w="44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Deep main-contractor functionality; subcontract, CVR, procurement at scale</w:t>
            </w:r>
          </w:p>
        </w:tc>
      </w:tr>
      <w:tr>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Access Coins</w:t>
            </w:r>
          </w:p>
        </w:tc>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Construction ERP</w:t>
            </w:r>
          </w:p>
        </w:tc>
        <w:tc>
          <w:tcPr>
            <w:tcW w:type="dxa" w:w="44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Construction-native finance, commercial and field on one platform</w:t>
            </w:r>
          </w:p>
        </w:tc>
      </w:tr>
      <w:tr>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Eque2 (Construct / EVision)</w:t>
            </w:r>
          </w:p>
        </w:tc>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Sage &amp; D365 BC</w:t>
            </w:r>
          </w:p>
        </w:tc>
        <w:tc>
          <w:tcPr>
            <w:tcW w:type="dxa" w:w="44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Scales £1m–£1bn; strong subcontract and contract reporting</w:t>
            </w:r>
          </w:p>
        </w:tc>
      </w:tr>
      <w:tr>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Trimble Viewpoint (Vista)</w:t>
            </w:r>
          </w:p>
        </w:tc>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Construction ERP</w:t>
            </w:r>
          </w:p>
        </w:tc>
        <w:tc>
          <w:tcPr>
            <w:tcW w:type="dxa" w:w="44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Job-costing and operations depth for established contractors</w:t>
            </w:r>
          </w:p>
        </w:tc>
      </w:tr>
      <w:tr>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Integrity Evolution Mx</w:t>
            </w:r>
          </w:p>
        </w:tc>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Construction ERP</w:t>
            </w:r>
          </w:p>
        </w:tc>
        <w:tc>
          <w:tcPr>
            <w:tcW w:type="dxa" w:w="44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All-in-one mid-market UK contractor suite</w:t>
            </w:r>
          </w:p>
        </w:tc>
      </w:tr>
      <w:tr>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Causeway</w:t>
            </w:r>
          </w:p>
        </w:tc>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Commercial mgmt</w:t>
            </w:r>
          </w:p>
        </w:tc>
        <w:tc>
          <w:tcPr>
            <w:tcW w:type="dxa" w:w="44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Estimating-to-commercial-management for the QS function</w:t>
            </w:r>
          </w:p>
        </w:tc>
      </w:tr>
      <w:tr>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CMiC</w:t>
            </w:r>
          </w:p>
        </w:tc>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Construction ERP</w:t>
            </w:r>
          </w:p>
        </w:tc>
        <w:tc>
          <w:tcPr>
            <w:tcW w:type="dxa" w:w="44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Single-database integrated cost and project controls</w:t>
            </w:r>
          </w:p>
        </w:tc>
      </w:tr>
      <w:tr>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Procore (+ ERP)</w:t>
            </w:r>
          </w:p>
        </w:tc>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PM hub</w:t>
            </w:r>
          </w:p>
        </w:tc>
        <w:tc>
          <w:tcPr>
            <w:tcW w:type="dxa" w:w="44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Site-to-office project controls layered over finance</w:t>
            </w:r>
          </w:p>
        </w:tc>
      </w:tr>
      <w:tr>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Microsoft Dynamics 365 F&amp;O</w:t>
            </w:r>
          </w:p>
        </w:tc>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Enterprise ERP</w:t>
            </w:r>
          </w:p>
        </w:tc>
        <w:tc>
          <w:tcPr>
            <w:tcW w:type="dxa" w:w="44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Larger contractor groups with ISV construction apps</w:t>
            </w:r>
          </w:p>
        </w:tc>
      </w:tr>
      <w:tr>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Sage 200 / Intacct</w:t>
            </w:r>
          </w:p>
        </w:tc>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Finance core</w:t>
            </w:r>
          </w:p>
        </w:tc>
        <w:tc>
          <w:tcPr>
            <w:tcW w:type="dxa" w:w="44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Finance backbone for smaller main contractors + add-ons</w:t>
            </w:r>
          </w:p>
        </w:tc>
      </w:tr>
    </w:tbl>
    <w:p>
      <w:pPr>
        <w:pStyle w:val="Heading3"/>
      </w:pPr>
      <w:r>
        <w:t xml:space="preserve">Civil engineering &amp; infrastructure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300"/>
        <w:gridCol w:w="2300"/>
        <w:gridCol w:w="4426"/>
      </w:tblGrid>
      <w:tr>
        <w:trPr>
          <w:tblHeader/>
        </w:trPr>
        <w:tc>
          <w:tcPr>
            <w:tcW w:type="dxa" w:w="230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Operator</w:t>
            </w:r>
          </w:p>
        </w:tc>
        <w:tc>
          <w:tcPr>
            <w:tcW w:type="dxa" w:w="230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Platform / product</w:t>
            </w:r>
          </w:p>
        </w:tc>
        <w:tc>
          <w:tcPr>
            <w:tcW w:type="dxa" w:w="4426"/>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Why it fits</w:t>
            </w:r>
          </w:p>
        </w:tc>
      </w:tr>
      <w:tr>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 </w:t>
            </w:r>
            <w:r>
              <w:rPr>
                <w:b/>
                <w:bCs/>
                <w:sz w:val="16"/>
                <w:szCs w:val="16"/>
              </w:rPr>
              <w:t xml:space="preserve">COINS</w:t>
            </w:r>
          </w:p>
        </w:tc>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Construction ERP</w:t>
            </w:r>
          </w:p>
        </w:tc>
        <w:tc>
          <w:tcPr>
            <w:tcW w:type="dxa" w:w="44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NEC handling, plant, JV/multi-entity at infrastructure scale</w:t>
            </w:r>
          </w:p>
        </w:tc>
      </w:tr>
      <w:tr>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Oracle ERP Cloud + Primavera P6</w:t>
            </w:r>
          </w:p>
        </w:tc>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Enterprise ERP + scheduling</w:t>
            </w:r>
          </w:p>
        </w:tc>
        <w:tc>
          <w:tcPr>
            <w:tcW w:type="dxa" w:w="44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Enterprise scheduling alongside financial consolidation</w:t>
            </w:r>
          </w:p>
        </w:tc>
      </w:tr>
      <w:tr>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SAP S/4HANA</w:t>
            </w:r>
          </w:p>
        </w:tc>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Enterprise ERP</w:t>
            </w:r>
          </w:p>
        </w:tc>
        <w:tc>
          <w:tcPr>
            <w:tcW w:type="dxa" w:w="44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FTSE-scale civils; supply chain and consolidation</w:t>
            </w:r>
          </w:p>
        </w:tc>
      </w:tr>
      <w:tr>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IFS Cloud</w:t>
            </w:r>
          </w:p>
        </w:tc>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Project &amp; asset ERP</w:t>
            </w:r>
          </w:p>
        </w:tc>
        <w:tc>
          <w:tcPr>
            <w:tcW w:type="dxa" w:w="44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Engineering project ERP with resource &amp; asset lifecycle</w:t>
            </w:r>
          </w:p>
        </w:tc>
      </w:tr>
      <w:tr>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Trimble Viewpoint (Vista)</w:t>
            </w:r>
          </w:p>
        </w:tc>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Construction ERP</w:t>
            </w:r>
          </w:p>
        </w:tc>
        <w:tc>
          <w:tcPr>
            <w:tcW w:type="dxa" w:w="44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Self-delivery and plant-heavy civils operations</w:t>
            </w:r>
          </w:p>
        </w:tc>
      </w:tr>
      <w:tr>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Access Coins Evo</w:t>
            </w:r>
          </w:p>
        </w:tc>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Construction ERP</w:t>
            </w:r>
          </w:p>
        </w:tc>
        <w:tc>
          <w:tcPr>
            <w:tcW w:type="dxa" w:w="44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Construction-native with payroll and field operations</w:t>
            </w:r>
          </w:p>
        </w:tc>
      </w:tr>
      <w:tr>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Causeway</w:t>
            </w:r>
          </w:p>
        </w:tc>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Commercial &amp; supply chain</w:t>
            </w:r>
          </w:p>
        </w:tc>
        <w:tc>
          <w:tcPr>
            <w:tcW w:type="dxa" w:w="44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Civils estimating and commercial management</w:t>
            </w:r>
          </w:p>
        </w:tc>
      </w:tr>
      <w:tr>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CMiC</w:t>
            </w:r>
          </w:p>
        </w:tc>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Construction ERP</w:t>
            </w:r>
          </w:p>
        </w:tc>
        <w:tc>
          <w:tcPr>
            <w:tcW w:type="dxa" w:w="44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Integrated controls for large civil programmes</w:t>
            </w:r>
          </w:p>
        </w:tc>
      </w:tr>
      <w:tr>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Microsoft Dynamics 365 F&amp;O</w:t>
            </w:r>
          </w:p>
        </w:tc>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Enterprise ERP</w:t>
            </w:r>
          </w:p>
        </w:tc>
        <w:tc>
          <w:tcPr>
            <w:tcW w:type="dxa" w:w="44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Microsoft-aligned majors + construction ISV layer</w:t>
            </w:r>
          </w:p>
        </w:tc>
      </w:tr>
      <w:tr>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Deltek</w:t>
            </w:r>
          </w:p>
        </w:tc>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Project ERP</w:t>
            </w:r>
          </w:p>
        </w:tc>
        <w:tc>
          <w:tcPr>
            <w:tcW w:type="dxa" w:w="44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Engineering/consultancy-led infrastructure delivery</w:t>
            </w:r>
          </w:p>
        </w:tc>
      </w:tr>
    </w:tbl>
    <w:p>
      <w:pPr>
        <w:pStyle w:val="Heading3"/>
      </w:pPr>
      <w:r>
        <w:t xml:space="preserve">Housebuilding &amp; residential development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300"/>
        <w:gridCol w:w="2300"/>
        <w:gridCol w:w="4426"/>
      </w:tblGrid>
      <w:tr>
        <w:trPr>
          <w:tblHeader/>
        </w:trPr>
        <w:tc>
          <w:tcPr>
            <w:tcW w:type="dxa" w:w="230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Operator</w:t>
            </w:r>
          </w:p>
        </w:tc>
        <w:tc>
          <w:tcPr>
            <w:tcW w:type="dxa" w:w="230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Platform / product</w:t>
            </w:r>
          </w:p>
        </w:tc>
        <w:tc>
          <w:tcPr>
            <w:tcW w:type="dxa" w:w="4426"/>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Why it fits</w:t>
            </w:r>
          </w:p>
        </w:tc>
      </w:tr>
      <w:tr>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 </w:t>
            </w:r>
            <w:r>
              <w:rPr>
                <w:b/>
                <w:bCs/>
                <w:sz w:val="16"/>
                <w:szCs w:val="16"/>
              </w:rPr>
              <w:t xml:space="preserve">COINS</w:t>
            </w:r>
          </w:p>
        </w:tc>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Construction ERP</w:t>
            </w:r>
          </w:p>
        </w:tc>
        <w:tc>
          <w:tcPr>
            <w:tcW w:type="dxa" w:w="44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Long-standing housebuilder platform; land, build, sales, care</w:t>
            </w:r>
          </w:p>
        </w:tc>
      </w:tr>
      <w:tr>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Eque2 Housebuilding</w:t>
            </w:r>
          </w:p>
        </w:tc>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Housebuilding suite</w:t>
            </w:r>
          </w:p>
        </w:tc>
        <w:tc>
          <w:tcPr>
            <w:tcW w:type="dxa" w:w="44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Land appraisal through build, sales and customer care</w:t>
            </w:r>
          </w:p>
        </w:tc>
      </w:tr>
      <w:tr>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Access Coins Evo</w:t>
            </w:r>
          </w:p>
        </w:tc>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Construction ERP</w:t>
            </w:r>
          </w:p>
        </w:tc>
        <w:tc>
          <w:tcPr>
            <w:tcW w:type="dxa" w:w="44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Homebuilder-oriented construction-native suite</w:t>
            </w:r>
          </w:p>
        </w:tc>
      </w:tr>
      <w:tr>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NB Projects (on D365 BC)</w:t>
            </w:r>
          </w:p>
        </w:tc>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Construction ERP</w:t>
            </w:r>
          </w:p>
        </w:tc>
        <w:tc>
          <w:tcPr>
            <w:tcW w:type="dxa" w:w="44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Mixed construction + real-estate land-bank and units</w:t>
            </w:r>
          </w:p>
        </w:tc>
      </w:tr>
      <w:tr>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Trimble Viewpoint</w:t>
            </w:r>
          </w:p>
        </w:tc>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Construction ERP</w:t>
            </w:r>
          </w:p>
        </w:tc>
        <w:tc>
          <w:tcPr>
            <w:tcW w:type="dxa" w:w="44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Job-cost and operations for build divisions</w:t>
            </w:r>
          </w:p>
        </w:tc>
      </w:tr>
      <w:tr>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Integrity Evolution Mx</w:t>
            </w:r>
          </w:p>
        </w:tc>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Construction ERP</w:t>
            </w:r>
          </w:p>
        </w:tc>
        <w:tc>
          <w:tcPr>
            <w:tcW w:type="dxa" w:w="44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Mid-market developers wanting UK-native costing</w:t>
            </w:r>
          </w:p>
        </w:tc>
      </w:tr>
      <w:tr>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Microsoft Dynamics 365 F&amp;O</w:t>
            </w:r>
          </w:p>
        </w:tc>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Enterprise ERP</w:t>
            </w:r>
          </w:p>
        </w:tc>
        <w:tc>
          <w:tcPr>
            <w:tcW w:type="dxa" w:w="44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Large housebuilder groups with development + sales</w:t>
            </w:r>
          </w:p>
        </w:tc>
      </w:tr>
      <w:tr>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Oracle NetSuite</w:t>
            </w:r>
          </w:p>
        </w:tc>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Cloud ERP</w:t>
            </w:r>
          </w:p>
        </w:tc>
        <w:tc>
          <w:tcPr>
            <w:tcW w:type="dxa" w:w="44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Multi-entity developers consolidating SPVs</w:t>
            </w:r>
          </w:p>
        </w:tc>
      </w:tr>
      <w:tr>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Sage Intacct</w:t>
            </w:r>
          </w:p>
        </w:tc>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Cloud finance</w:t>
            </w:r>
          </w:p>
        </w:tc>
        <w:tc>
          <w:tcPr>
            <w:tcW w:type="dxa" w:w="44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Finance core for developers with project add-ons</w:t>
            </w:r>
          </w:p>
        </w:tc>
      </w:tr>
      <w:tr>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SAP S/4HANA</w:t>
            </w:r>
          </w:p>
        </w:tc>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Enterprise ERP</w:t>
            </w:r>
          </w:p>
        </w:tc>
        <w:tc>
          <w:tcPr>
            <w:tcW w:type="dxa" w:w="44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Largest national housebuilders at scale</w:t>
            </w:r>
          </w:p>
        </w:tc>
      </w:tr>
    </w:tbl>
    <w:p>
      <w:pPr>
        <w:pStyle w:val="Heading3"/>
      </w:pPr>
      <w:r>
        <w:t xml:space="preserve">Specialist &amp; M&amp;E subcontracting</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300"/>
        <w:gridCol w:w="2300"/>
        <w:gridCol w:w="4426"/>
      </w:tblGrid>
      <w:tr>
        <w:trPr>
          <w:tblHeader/>
        </w:trPr>
        <w:tc>
          <w:tcPr>
            <w:tcW w:type="dxa" w:w="230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Operator</w:t>
            </w:r>
          </w:p>
        </w:tc>
        <w:tc>
          <w:tcPr>
            <w:tcW w:type="dxa" w:w="230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Platform / product</w:t>
            </w:r>
          </w:p>
        </w:tc>
        <w:tc>
          <w:tcPr>
            <w:tcW w:type="dxa" w:w="4426"/>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Why it fits</w:t>
            </w:r>
          </w:p>
        </w:tc>
      </w:tr>
      <w:tr>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 </w:t>
            </w:r>
            <w:r>
              <w:rPr>
                <w:b/>
                <w:bCs/>
                <w:sz w:val="16"/>
                <w:szCs w:val="16"/>
              </w:rPr>
              <w:t xml:space="preserve">Eque2 Construct for Sage</w:t>
            </w:r>
          </w:p>
        </w:tc>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Sage + commercial</w:t>
            </w:r>
          </w:p>
        </w:tc>
        <w:tc>
          <w:tcPr>
            <w:tcW w:type="dxa" w:w="44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Subcontract AfP, CIS, retention and contract reporting</w:t>
            </w:r>
          </w:p>
        </w:tc>
      </w:tr>
      <w:tr>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Site Samurai</w:t>
            </w:r>
          </w:p>
        </w:tc>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Project-first SME</w:t>
            </w:r>
          </w:p>
        </w:tc>
        <w:tc>
          <w:tcPr>
            <w:tcW w:type="dxa" w:w="44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Strong CIS engine, AfP, RAMS; unlimited users</w:t>
            </w:r>
          </w:p>
        </w:tc>
      </w:tr>
      <w:tr>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Integrity Evolution Mx</w:t>
            </w:r>
          </w:p>
        </w:tc>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Construction ERP</w:t>
            </w:r>
          </w:p>
        </w:tc>
        <w:tc>
          <w:tcPr>
            <w:tcW w:type="dxa" w:w="44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Specialists wanting all-in-one UK suite</w:t>
            </w:r>
          </w:p>
        </w:tc>
      </w:tr>
      <w:tr>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Joblogic</w:t>
            </w:r>
          </w:p>
        </w:tc>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Field service</w:t>
            </w:r>
          </w:p>
        </w:tc>
        <w:tc>
          <w:tcPr>
            <w:tcW w:type="dxa" w:w="44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Asset/PPM-heavy M&amp;E with a maintenance arm</w:t>
            </w:r>
          </w:p>
        </w:tc>
      </w:tr>
      <w:tr>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Simpro</w:t>
            </w:r>
          </w:p>
        </w:tc>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Field service</w:t>
            </w:r>
          </w:p>
        </w:tc>
        <w:tc>
          <w:tcPr>
            <w:tcW w:type="dxa" w:w="44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Larger, process-driven M&amp;E with project + service work</w:t>
            </w:r>
          </w:p>
        </w:tc>
      </w:tr>
      <w:tr>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Trimble Viewpoint</w:t>
            </w:r>
          </w:p>
        </w:tc>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Construction ERP</w:t>
            </w:r>
          </w:p>
        </w:tc>
        <w:tc>
          <w:tcPr>
            <w:tcW w:type="dxa" w:w="44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Larger M&amp;E packages wanting full job-cost ERP</w:t>
            </w:r>
          </w:p>
        </w:tc>
      </w:tr>
      <w:tr>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Jonas</w:t>
            </w:r>
          </w:p>
        </w:tc>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Construction ERP</w:t>
            </w:r>
          </w:p>
        </w:tc>
        <w:tc>
          <w:tcPr>
            <w:tcW w:type="dxa" w:w="44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M&amp;E specialists needing service-management depth</w:t>
            </w:r>
          </w:p>
        </w:tc>
      </w:tr>
      <w:tr>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Sage 200 / Intacct</w:t>
            </w:r>
          </w:p>
        </w:tc>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Finance core</w:t>
            </w:r>
          </w:p>
        </w:tc>
        <w:tc>
          <w:tcPr>
            <w:tcW w:type="dxa" w:w="44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Finance backbone with CIS and add-ons</w:t>
            </w:r>
          </w:p>
        </w:tc>
      </w:tr>
      <w:tr>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Xpedeon</w:t>
            </w:r>
          </w:p>
        </w:tc>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Construction ERP</w:t>
            </w:r>
          </w:p>
        </w:tc>
        <w:tc>
          <w:tcPr>
            <w:tcW w:type="dxa" w:w="44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Specialists wanting estimating-to-costing integration</w:t>
            </w:r>
          </w:p>
        </w:tc>
      </w:tr>
      <w:tr>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BigChange</w:t>
            </w:r>
          </w:p>
        </w:tc>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Field service</w:t>
            </w:r>
          </w:p>
        </w:tc>
        <w:tc>
          <w:tcPr>
            <w:tcW w:type="dxa" w:w="44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Fleet-heavy M&amp;E with a mobile workforce</w:t>
            </w:r>
          </w:p>
        </w:tc>
      </w:tr>
    </w:tbl>
    <w:p>
      <w:pPr>
        <w:pStyle w:val="Heading3"/>
      </w:pPr>
      <w:r>
        <w:t xml:space="preserve">Fit-out, interiors &amp; SME building</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300"/>
        <w:gridCol w:w="2300"/>
        <w:gridCol w:w="4426"/>
      </w:tblGrid>
      <w:tr>
        <w:trPr>
          <w:tblHeader/>
        </w:trPr>
        <w:tc>
          <w:tcPr>
            <w:tcW w:type="dxa" w:w="230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Operator</w:t>
            </w:r>
          </w:p>
        </w:tc>
        <w:tc>
          <w:tcPr>
            <w:tcW w:type="dxa" w:w="230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Platform / product</w:t>
            </w:r>
          </w:p>
        </w:tc>
        <w:tc>
          <w:tcPr>
            <w:tcW w:type="dxa" w:w="4426"/>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Why it fits</w:t>
            </w:r>
          </w:p>
        </w:tc>
      </w:tr>
      <w:tr>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 </w:t>
            </w:r>
            <w:r>
              <w:rPr>
                <w:b/>
                <w:bCs/>
                <w:sz w:val="16"/>
                <w:szCs w:val="16"/>
              </w:rPr>
              <w:t xml:space="preserve">Eque2 Construct for Sage</w:t>
            </w:r>
          </w:p>
        </w:tc>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Sage + commercial</w:t>
            </w:r>
          </w:p>
        </w:tc>
        <w:tc>
          <w:tcPr>
            <w:tcW w:type="dxa" w:w="44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Most-adopted UK contract costing for SME builders</w:t>
            </w:r>
          </w:p>
        </w:tc>
      </w:tr>
      <w:tr>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Sage 50 + Construct Lite</w:t>
            </w:r>
          </w:p>
        </w:tc>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Accounts + costing</w:t>
            </w:r>
          </w:p>
        </w:tc>
        <w:tc>
          <w:tcPr>
            <w:tcW w:type="dxa" w:w="44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Tight-margin SMEs wanting Sage + job costing</w:t>
            </w:r>
          </w:p>
        </w:tc>
      </w:tr>
      <w:tr>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Xero / QuickBooks + CIS</w:t>
            </w:r>
          </w:p>
        </w:tc>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Cloud accounting</w:t>
            </w:r>
          </w:p>
        </w:tc>
        <w:tc>
          <w:tcPr>
            <w:tcW w:type="dxa" w:w="44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Lean back office; CIS-aware bookkeeping</w:t>
            </w:r>
          </w:p>
        </w:tc>
      </w:tr>
      <w:tr>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Eque2 Construction Manager</w:t>
            </w:r>
          </w:p>
        </w:tc>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Cloud job costing</w:t>
            </w:r>
          </w:p>
        </w:tc>
        <w:tc>
          <w:tcPr>
            <w:tcW w:type="dxa" w:w="44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Small fit-out firms up to ~£2m</w:t>
            </w:r>
          </w:p>
        </w:tc>
      </w:tr>
      <w:tr>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Site Samurai</w:t>
            </w:r>
          </w:p>
        </w:tc>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Project-first SME</w:t>
            </w:r>
          </w:p>
        </w:tc>
        <w:tc>
          <w:tcPr>
            <w:tcW w:type="dxa" w:w="44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Project-based fit-out subcontractors; CIS + AfP</w:t>
            </w:r>
          </w:p>
        </w:tc>
      </w:tr>
      <w:tr>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Xpedeon</w:t>
            </w:r>
          </w:p>
        </w:tc>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Construction ERP</w:t>
            </w:r>
          </w:p>
        </w:tc>
        <w:tc>
          <w:tcPr>
            <w:tcW w:type="dxa" w:w="44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Ambitious fit-out firms wanting a path up</w:t>
            </w:r>
          </w:p>
        </w:tc>
      </w:tr>
      <w:tr>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Integrity Evolution</w:t>
            </w:r>
          </w:p>
        </w:tc>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Construction ERP</w:t>
            </w:r>
          </w:p>
        </w:tc>
        <w:tc>
          <w:tcPr>
            <w:tcW w:type="dxa" w:w="44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Growing interiors contractors going native</w:t>
            </w:r>
          </w:p>
        </w:tc>
      </w:tr>
      <w:tr>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Procore</w:t>
            </w:r>
          </w:p>
        </w:tc>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PM hub</w:t>
            </w:r>
          </w:p>
        </w:tc>
        <w:tc>
          <w:tcPr>
            <w:tcW w:type="dxa" w:w="44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Drawing/variation control on complex fit-out</w:t>
            </w:r>
          </w:p>
        </w:tc>
      </w:tr>
      <w:tr>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Dynamics 365 BC + add-on</w:t>
            </w:r>
          </w:p>
        </w:tc>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Cloud ERP</w:t>
            </w:r>
          </w:p>
        </w:tc>
        <w:tc>
          <w:tcPr>
            <w:tcW w:type="dxa" w:w="44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Microsoft-centric SME builders</w:t>
            </w:r>
          </w:p>
        </w:tc>
      </w:tr>
      <w:tr>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Tradify</w:t>
            </w:r>
          </w:p>
        </w:tc>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Job management</w:t>
            </w:r>
          </w:p>
        </w:tc>
        <w:tc>
          <w:tcPr>
            <w:tcW w:type="dxa" w:w="44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Smallest fit-out and trade teams</w:t>
            </w:r>
          </w:p>
        </w:tc>
      </w:tr>
    </w:tbl>
    <w:p>
      <w:pPr>
        <w:pStyle w:val="Heading3"/>
      </w:pPr>
      <w:r>
        <w:t xml:space="preserve">Maintenance, FM, reactive service &amp; plant hire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300"/>
        <w:gridCol w:w="2300"/>
        <w:gridCol w:w="4426"/>
      </w:tblGrid>
      <w:tr>
        <w:trPr>
          <w:tblHeader/>
        </w:trPr>
        <w:tc>
          <w:tcPr>
            <w:tcW w:type="dxa" w:w="230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Operator</w:t>
            </w:r>
          </w:p>
        </w:tc>
        <w:tc>
          <w:tcPr>
            <w:tcW w:type="dxa" w:w="230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Platform / product</w:t>
            </w:r>
          </w:p>
        </w:tc>
        <w:tc>
          <w:tcPr>
            <w:tcW w:type="dxa" w:w="4426"/>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Why it fits</w:t>
            </w:r>
          </w:p>
        </w:tc>
      </w:tr>
      <w:tr>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 </w:t>
            </w:r>
            <w:r>
              <w:rPr>
                <w:b/>
                <w:bCs/>
                <w:sz w:val="16"/>
                <w:szCs w:val="16"/>
              </w:rPr>
              <w:t xml:space="preserve">Joblogic</w:t>
            </w:r>
          </w:p>
        </w:tc>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Field service</w:t>
            </w:r>
          </w:p>
        </w:tc>
        <w:tc>
          <w:tcPr>
            <w:tcW w:type="dxa" w:w="44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Asset registers, PPM and compliance for FM/maintenance</w:t>
            </w:r>
          </w:p>
        </w:tc>
      </w:tr>
      <w:tr>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BigChange</w:t>
            </w:r>
          </w:p>
        </w:tc>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Field service</w:t>
            </w:r>
          </w:p>
        </w:tc>
        <w:tc>
          <w:tcPr>
            <w:tcW w:type="dxa" w:w="44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All-in-one with vehicle/fleet tracking for mobile teams</w:t>
            </w:r>
          </w:p>
        </w:tc>
      </w:tr>
      <w:tr>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Simpro</w:t>
            </w:r>
          </w:p>
        </w:tc>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Field service</w:t>
            </w:r>
          </w:p>
        </w:tc>
        <w:tc>
          <w:tcPr>
            <w:tcW w:type="dxa" w:w="44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Enterprise-grade service + project for larger operators</w:t>
            </w:r>
          </w:p>
        </w:tc>
      </w:tr>
      <w:tr>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Commusoft</w:t>
            </w:r>
          </w:p>
        </w:tc>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Field service</w:t>
            </w:r>
          </w:p>
        </w:tc>
        <w:tc>
          <w:tcPr>
            <w:tcW w:type="dxa" w:w="44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Service-contract specialists; strong UK support &amp; usability</w:t>
            </w:r>
          </w:p>
        </w:tc>
      </w:tr>
      <w:tr>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Clik (Service/Cert)</w:t>
            </w:r>
          </w:p>
        </w:tc>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Field service</w:t>
            </w:r>
          </w:p>
        </w:tc>
        <w:tc>
          <w:tcPr>
            <w:tcW w:type="dxa" w:w="44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Compliance-heavy electrical/HVAC and NICEIC contractors</w:t>
            </w:r>
          </w:p>
        </w:tc>
      </w:tr>
      <w:tr>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inspHire</w:t>
            </w:r>
          </w:p>
        </w:tc>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Plant hire ERP</w:t>
            </w:r>
          </w:p>
        </w:tc>
        <w:tc>
          <w:tcPr>
            <w:tcW w:type="dxa" w:w="44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Hire-desk, utilisation and rental billing for plant hire</w:t>
            </w:r>
          </w:p>
        </w:tc>
      </w:tr>
      <w:tr>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MCS Rental Software</w:t>
            </w:r>
          </w:p>
        </w:tc>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Plant hire ERP</w:t>
            </w:r>
          </w:p>
        </w:tc>
        <w:tc>
          <w:tcPr>
            <w:tcW w:type="dxa" w:w="44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End-to-end rental management and asset tracking</w:t>
            </w:r>
          </w:p>
        </w:tc>
      </w:tr>
      <w:tr>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Syrinx (Kerridge)</w:t>
            </w:r>
          </w:p>
        </w:tc>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Plant hire ERP</w:t>
            </w:r>
          </w:p>
        </w:tc>
        <w:tc>
          <w:tcPr>
            <w:tcW w:type="dxa" w:w="44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Hire management with telematics and depreciation</w:t>
            </w:r>
          </w:p>
        </w:tc>
      </w:tr>
      <w:tr>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Workever</w:t>
            </w:r>
          </w:p>
        </w:tc>
        <w:tc>
          <w:tcPr>
            <w:tcW w:type="dxa" w:w="23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Field service</w:t>
            </w:r>
          </w:p>
        </w:tc>
        <w:tc>
          <w:tcPr>
            <w:tcW w:type="dxa" w:w="44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Cloud scheduling and mobile forms for service teams</w:t>
            </w:r>
          </w:p>
        </w:tc>
      </w:tr>
      <w:tr>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Access (FM)</w:t>
            </w:r>
          </w:p>
        </w:tc>
        <w:tc>
          <w:tcPr>
            <w:tcW w:type="dxa" w:w="23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FM software</w:t>
            </w:r>
          </w:p>
        </w:tc>
        <w:tc>
          <w:tcPr>
            <w:tcW w:type="dxa" w:w="44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Larger FM providers needing integrated back office</w:t>
            </w:r>
          </w:p>
        </w:tc>
      </w:tr>
    </w:tbl>
    <w:p>
      <w:pPr>
        <w:pStyle w:val="Heading2"/>
      </w:pPr>
      <w:r>
        <w:t xml:space="preserve">5.6 Size-by-subsector decision matrix</w:t>
      </w:r>
    </w:p>
    <w:p>
      <w:pPr>
        <w:spacing w:after="140" w:line="276"/>
      </w:pPr>
      <w:r>
        <w:t xml:space="preserve">A longlisting aid that maps both axes together. Use it to seed the selection process in Chapter 6 — it is a starting point, not a verdict.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26"/>
        <w:gridCol w:w="1800"/>
        <w:gridCol w:w="1800"/>
        <w:gridCol w:w="1800"/>
        <w:gridCol w:w="1800"/>
      </w:tblGrid>
      <w:tr>
        <w:trPr>
          <w:tblHeader/>
        </w:trPr>
        <w:tc>
          <w:tcPr>
            <w:tcW w:type="dxa" w:w="1826"/>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Subsector ↓ / Size →</w:t>
            </w:r>
          </w:p>
        </w:tc>
        <w:tc>
          <w:tcPr>
            <w:tcW w:type="dxa" w:w="180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Micro/small</w:t>
            </w:r>
          </w:p>
        </w:tc>
        <w:tc>
          <w:tcPr>
            <w:tcW w:type="dxa" w:w="180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Medium</w:t>
            </w:r>
          </w:p>
        </w:tc>
        <w:tc>
          <w:tcPr>
            <w:tcW w:type="dxa" w:w="180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Large</w:t>
            </w:r>
          </w:p>
        </w:tc>
        <w:tc>
          <w:tcPr>
            <w:tcW w:type="dxa" w:w="180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Enterprise/Tier 1</w:t>
            </w:r>
          </w:p>
        </w:tc>
      </w:tr>
      <w:tr>
        <w:tc>
          <w:tcPr>
            <w:tcW w:type="dxa" w:w="18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4"/>
                <w:szCs w:val="14"/>
              </w:rPr>
              <w:t xml:space="preserve">Main contracting</w:t>
            </w:r>
          </w:p>
        </w:tc>
        <w:tc>
          <w:tcPr>
            <w:tcW w:type="dxa" w:w="18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4"/>
                <w:szCs w:val="14"/>
              </w:rPr>
              <w:t xml:space="preserve">Eque2 CM; Xero+CIS</w:t>
            </w:r>
          </w:p>
        </w:tc>
        <w:tc>
          <w:tcPr>
            <w:tcW w:type="dxa" w:w="18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4"/>
                <w:szCs w:val="14"/>
              </w:rPr>
              <w:t xml:space="preserve">Eque2; Integrity; Sage 200</w:t>
            </w:r>
          </w:p>
        </w:tc>
        <w:tc>
          <w:tcPr>
            <w:tcW w:type="dxa" w:w="18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4"/>
                <w:szCs w:val="14"/>
              </w:rPr>
              <w:t xml:space="preserve">COINS; Access Coins; Viewpoint</w:t>
            </w:r>
          </w:p>
        </w:tc>
        <w:tc>
          <w:tcPr>
            <w:tcW w:type="dxa" w:w="18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4"/>
                <w:szCs w:val="14"/>
              </w:rPr>
              <w:t xml:space="preserve">SAP; D365 F&amp;O; COINS</w:t>
            </w:r>
          </w:p>
        </w:tc>
      </w:tr>
      <w:tr>
        <w:tc>
          <w:tcPr>
            <w:tcW w:type="dxa" w:w="18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4"/>
                <w:szCs w:val="14"/>
              </w:rPr>
              <w:t xml:space="preserve">Civils &amp; infrastructure</w:t>
            </w:r>
          </w:p>
        </w:tc>
        <w:tc>
          <w:tcPr>
            <w:tcW w:type="dxa" w:w="18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4"/>
                <w:szCs w:val="14"/>
              </w:rPr>
              <w:t xml:space="preserve">Site Samurai; Xpedeon</w:t>
            </w:r>
          </w:p>
        </w:tc>
        <w:tc>
          <w:tcPr>
            <w:tcW w:type="dxa" w:w="18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4"/>
                <w:szCs w:val="14"/>
              </w:rPr>
              <w:t xml:space="preserve">Causeway; Xpedeon; Eque2</w:t>
            </w:r>
          </w:p>
        </w:tc>
        <w:tc>
          <w:tcPr>
            <w:tcW w:type="dxa" w:w="18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4"/>
                <w:szCs w:val="14"/>
              </w:rPr>
              <w:t xml:space="preserve">COINS; Viewpoint; CMiC</w:t>
            </w:r>
          </w:p>
        </w:tc>
        <w:tc>
          <w:tcPr>
            <w:tcW w:type="dxa" w:w="18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4"/>
                <w:szCs w:val="14"/>
              </w:rPr>
              <w:t xml:space="preserve">Oracle+P6; SAP; IFS</w:t>
            </w:r>
          </w:p>
        </w:tc>
      </w:tr>
      <w:tr>
        <w:tc>
          <w:tcPr>
            <w:tcW w:type="dxa" w:w="18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4"/>
                <w:szCs w:val="14"/>
              </w:rPr>
              <w:t xml:space="preserve">Housebuilding</w:t>
            </w:r>
          </w:p>
        </w:tc>
        <w:tc>
          <w:tcPr>
            <w:tcW w:type="dxa" w:w="18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4"/>
                <w:szCs w:val="14"/>
              </w:rPr>
              <w:t xml:space="preserve">Eque2; Sage 50</w:t>
            </w:r>
          </w:p>
        </w:tc>
        <w:tc>
          <w:tcPr>
            <w:tcW w:type="dxa" w:w="18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4"/>
                <w:szCs w:val="14"/>
              </w:rPr>
              <w:t xml:space="preserve">Integrity; Eque2; NB Projects</w:t>
            </w:r>
          </w:p>
        </w:tc>
        <w:tc>
          <w:tcPr>
            <w:tcW w:type="dxa" w:w="18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4"/>
                <w:szCs w:val="14"/>
              </w:rPr>
              <w:t xml:space="preserve">COINS; Access Coins; Eque2</w:t>
            </w:r>
          </w:p>
        </w:tc>
        <w:tc>
          <w:tcPr>
            <w:tcW w:type="dxa" w:w="18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4"/>
                <w:szCs w:val="14"/>
              </w:rPr>
              <w:t xml:space="preserve">SAP; D365 F&amp;O; COINS</w:t>
            </w:r>
          </w:p>
        </w:tc>
      </w:tr>
      <w:tr>
        <w:tc>
          <w:tcPr>
            <w:tcW w:type="dxa" w:w="18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4"/>
                <w:szCs w:val="14"/>
              </w:rPr>
              <w:t xml:space="preserve">Specialist &amp; M&amp;E</w:t>
            </w:r>
          </w:p>
        </w:tc>
        <w:tc>
          <w:tcPr>
            <w:tcW w:type="dxa" w:w="18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4"/>
                <w:szCs w:val="14"/>
              </w:rPr>
              <w:t xml:space="preserve">Site Samurai; Joblogic</w:t>
            </w:r>
          </w:p>
        </w:tc>
        <w:tc>
          <w:tcPr>
            <w:tcW w:type="dxa" w:w="18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4"/>
                <w:szCs w:val="14"/>
              </w:rPr>
              <w:t xml:space="preserve">Eque2; Integrity; Simpro</w:t>
            </w:r>
          </w:p>
        </w:tc>
        <w:tc>
          <w:tcPr>
            <w:tcW w:type="dxa" w:w="18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4"/>
                <w:szCs w:val="14"/>
              </w:rPr>
              <w:t xml:space="preserve">Viewpoint; Jonas; Access Coins</w:t>
            </w:r>
          </w:p>
        </w:tc>
        <w:tc>
          <w:tcPr>
            <w:tcW w:type="dxa" w:w="18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4"/>
                <w:szCs w:val="14"/>
              </w:rPr>
              <w:t xml:space="preserve">D365 F&amp;O; SAP</w:t>
            </w:r>
          </w:p>
        </w:tc>
      </w:tr>
      <w:tr>
        <w:tc>
          <w:tcPr>
            <w:tcW w:type="dxa" w:w="18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4"/>
                <w:szCs w:val="14"/>
              </w:rPr>
              <w:t xml:space="preserve">Fit-out &amp; SME building</w:t>
            </w:r>
          </w:p>
        </w:tc>
        <w:tc>
          <w:tcPr>
            <w:tcW w:type="dxa" w:w="18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4"/>
                <w:szCs w:val="14"/>
              </w:rPr>
              <w:t xml:space="preserve">Eque2 CM; Sage 50; Tradify</w:t>
            </w:r>
          </w:p>
        </w:tc>
        <w:tc>
          <w:tcPr>
            <w:tcW w:type="dxa" w:w="18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4"/>
                <w:szCs w:val="14"/>
              </w:rPr>
              <w:t xml:space="preserve">Eque2; Xpedeon; Acumatica</w:t>
            </w:r>
          </w:p>
        </w:tc>
        <w:tc>
          <w:tcPr>
            <w:tcW w:type="dxa" w:w="18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4"/>
                <w:szCs w:val="14"/>
              </w:rPr>
              <w:t xml:space="preserve">Integrity; Viewpoint</w:t>
            </w:r>
          </w:p>
        </w:tc>
        <w:tc>
          <w:tcPr>
            <w:tcW w:type="dxa" w:w="18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4"/>
                <w:szCs w:val="14"/>
              </w:rPr>
              <w:t xml:space="preserve">D365 F&amp;O</w:t>
            </w:r>
          </w:p>
        </w:tc>
      </w:tr>
      <w:tr>
        <w:tc>
          <w:tcPr>
            <w:tcW w:type="dxa" w:w="18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4"/>
                <w:szCs w:val="14"/>
              </w:rPr>
              <w:t xml:space="preserve">Maintenance / FM / plant</w:t>
            </w:r>
          </w:p>
        </w:tc>
        <w:tc>
          <w:tcPr>
            <w:tcW w:type="dxa" w:w="18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4"/>
                <w:szCs w:val="14"/>
              </w:rPr>
              <w:t xml:space="preserve">Joblogic; Tradify; inspHire</w:t>
            </w:r>
          </w:p>
        </w:tc>
        <w:tc>
          <w:tcPr>
            <w:tcW w:type="dxa" w:w="18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4"/>
                <w:szCs w:val="14"/>
              </w:rPr>
              <w:t xml:space="preserve">BigChange; Simpro; MCS</w:t>
            </w:r>
          </w:p>
        </w:tc>
        <w:tc>
          <w:tcPr>
            <w:tcW w:type="dxa" w:w="18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4"/>
                <w:szCs w:val="14"/>
              </w:rPr>
              <w:t xml:space="preserve">Simpro; Joblogic; Syrinx</w:t>
            </w:r>
          </w:p>
        </w:tc>
        <w:tc>
          <w:tcPr>
            <w:tcW w:type="dxa" w:w="18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4"/>
                <w:szCs w:val="14"/>
              </w:rPr>
              <w:t xml:space="preserve">IFS; D365 F&amp;O; Access</w:t>
            </w:r>
          </w:p>
        </w:tc>
      </w:tr>
    </w:tbl>
    <w:p>
      <w:pPr>
        <w:spacing w:after="140" w:line="276"/>
      </w:pPr>
      <w:r>
        <w:rPr>
          <w:color w:val="5B6B7B"/>
          <w:sz w:val="18"/>
          <w:szCs w:val="18"/>
        </w:rPr>
        <w:t xml:space="preserve">This matrix is also provided as an editable tab in the companion vendor-scoring spreadsheet, so you can filter and adapt it to your own segment.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9D4E0" w:sz="1"/>
              <w:left w:val="single" w:color="2E75B6" w:sz="18"/>
              <w:bottom w:val="single" w:color="C9D4E0" w:sz="1"/>
              <w:right w:val="single" w:color="C9D4E0" w:sz="1"/>
            </w:tcBorders>
            <w:shd w:fill="EAF1F8" w:val="clear"/>
            <w:tcMar>
              <w:top w:type="dxa" w:w="130"/>
              <w:left w:type="dxa" w:w="180"/>
              <w:bottom w:type="dxa" w:w="130"/>
              <w:right w:type="dxa" w:w="160"/>
            </w:tcMar>
          </w:tcPr>
          <w:p>
            <w:pPr>
              <w:spacing w:after="50"/>
            </w:pPr>
            <w:r>
              <w:rPr>
                <w:b/>
                <w:bCs/>
                <w:color w:val="1F3A5F"/>
                <w:sz w:val="18"/>
                <w:szCs w:val="18"/>
              </w:rPr>
              <w:t xml:space="preserve">Not sure which two or three belong on your shortlist?</w:t>
            </w:r>
          </w:p>
          <w:p>
            <w:pPr>
              <w:spacing w:after="0"/>
            </w:pPr>
            <w:hyperlink w:history="1" r:id="rId5ttphoshna8xqevrsikkd">
              <w:r>
                <w:rPr>
                  <w:b w:val="false"/>
                  <w:bCs w:val="false"/>
                  <w:color w:val="2E75B6"/>
                  <w:sz w:val="16"/>
                  <w:szCs w:val="16"/>
                  <w:u w:val="single"/>
                </w:rPr>
                <w:t xml:space="preserve">Get a second opinion — Construction365 Advisory  ›  construction365.co.uk/erp-health-check</w:t>
              </w:r>
            </w:hyperlink>
          </w:p>
        </w:tc>
      </w:tr>
    </w:tbl>
    <w:p>
      <w:r>
        <w:br w:type="page"/>
      </w:r>
    </w:p>
    <w:p>
      <w:pPr>
        <w:pStyle w:val="Heading1"/>
      </w:pPr>
      <w:r>
        <w:t xml:space="preserve">Chapter 6 — The step-by-step selection process</w:t>
      </w:r>
    </w:p>
    <w:p>
      <w:pPr>
        <w:spacing w:after="140" w:line="276"/>
      </w:pPr>
      <w:r>
        <w:t xml:space="preserve">Most failed ERP projects fail in selection, not implementation. A disciplined, evidence-based process is the single biggest risk reducer. The eight phases below scale from a small contractor (compressed to a few weeks) to a Tier 1 programme (several months).</w:t>
      </w:r>
    </w:p>
    <w:p>
      <w:pPr>
        <w:pStyle w:val="Heading2"/>
      </w:pPr>
      <w:r>
        <w:t xml:space="preserve">6.1 The eight phases, with timelines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100"/>
        <w:gridCol w:w="5226"/>
        <w:gridCol w:w="1700"/>
      </w:tblGrid>
      <w:tr>
        <w:trPr>
          <w:tblHeader/>
        </w:trPr>
        <w:tc>
          <w:tcPr>
            <w:tcW w:type="dxa" w:w="210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Phase</w:t>
            </w:r>
          </w:p>
        </w:tc>
        <w:tc>
          <w:tcPr>
            <w:tcW w:type="dxa" w:w="5226"/>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What happens</w:t>
            </w:r>
          </w:p>
        </w:tc>
        <w:tc>
          <w:tcPr>
            <w:tcW w:type="dxa" w:w="170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Typical duration</w:t>
            </w:r>
          </w:p>
        </w:tc>
      </w:tr>
      <w:tr>
        <w:tc>
          <w:tcPr>
            <w:tcW w:type="dxa" w:w="21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1. Define requirements</w:t>
            </w:r>
          </w:p>
        </w:tc>
        <w:tc>
          <w:tcPr>
            <w:tcW w:type="dxa" w:w="52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Document contract forms, subsector(s), entities, integrations and compliance non-negotiables; split must-have vs nice-to-have.</w:t>
            </w:r>
          </w:p>
        </w:tc>
        <w:tc>
          <w:tcPr>
            <w:tcW w:type="dxa" w:w="17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1–3 weeks</w:t>
            </w:r>
          </w:p>
        </w:tc>
      </w:tr>
      <w:tr>
        <w:tc>
          <w:tcPr>
            <w:tcW w:type="dxa" w:w="21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2. Set budget &amp; TCO</w:t>
            </w:r>
          </w:p>
        </w:tc>
        <w:tc>
          <w:tcPr>
            <w:tcW w:type="dxa" w:w="52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Agree a realistic five-year total cost of ownership envelope (Chapter 7), not just year one.</w:t>
            </w:r>
          </w:p>
        </w:tc>
        <w:tc>
          <w:tcPr>
            <w:tcW w:type="dxa" w:w="17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3–5 days</w:t>
            </w:r>
          </w:p>
        </w:tc>
      </w:tr>
      <w:tr>
        <w:tc>
          <w:tcPr>
            <w:tcW w:type="dxa" w:w="21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3. Build the longlist</w:t>
            </w:r>
          </w:p>
        </w:tc>
        <w:tc>
          <w:tcPr>
            <w:tcW w:type="dxa" w:w="52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Draw candidates from the shortlists and matrix in Chapter 5.</w:t>
            </w:r>
          </w:p>
        </w:tc>
        <w:tc>
          <w:tcPr>
            <w:tcW w:type="dxa" w:w="17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2–5 days</w:t>
            </w:r>
          </w:p>
        </w:tc>
      </w:tr>
      <w:tr>
        <w:tc>
          <w:tcPr>
            <w:tcW w:type="dxa" w:w="21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4. Issue RFI / ITT</w:t>
            </w:r>
          </w:p>
        </w:tc>
        <w:tc>
          <w:tcPr>
            <w:tcW w:type="dxa" w:w="52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Send a focused request built around must-haves and real scenarios (template in Chapter 9).</w:t>
            </w:r>
          </w:p>
        </w:tc>
        <w:tc>
          <w:tcPr>
            <w:tcW w:type="dxa" w:w="17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2–4 weeks</w:t>
            </w:r>
          </w:p>
        </w:tc>
      </w:tr>
      <w:tr>
        <w:tc>
          <w:tcPr>
            <w:tcW w:type="dxa" w:w="21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5. Weighted scoring</w:t>
            </w:r>
          </w:p>
        </w:tc>
        <w:tc>
          <w:tcPr>
            <w:tcW w:type="dxa" w:w="52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Score responses against weighted criteria; narrow to three.</w:t>
            </w:r>
          </w:p>
        </w:tc>
        <w:tc>
          <w:tcPr>
            <w:tcW w:type="dxa" w:w="17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1–2 weeks</w:t>
            </w:r>
          </w:p>
        </w:tc>
      </w:tr>
      <w:tr>
        <w:tc>
          <w:tcPr>
            <w:tcW w:type="dxa" w:w="21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6. Scripted demos</w:t>
            </w:r>
          </w:p>
        </w:tc>
        <w:tc>
          <w:tcPr>
            <w:tcW w:type="dxa" w:w="52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Vendors demo on your data: verify a CIS subcontractor, raise an AfP, run the Reverse Charge, produce a CVR.</w:t>
            </w:r>
          </w:p>
        </w:tc>
        <w:tc>
          <w:tcPr>
            <w:tcW w:type="dxa" w:w="17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2–3 weeks</w:t>
            </w:r>
          </w:p>
        </w:tc>
      </w:tr>
      <w:tr>
        <w:tc>
          <w:tcPr>
            <w:tcW w:type="dxa" w:w="21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7. References &amp; due diligence</w:t>
            </w:r>
          </w:p>
        </w:tc>
        <w:tc>
          <w:tcPr>
            <w:tcW w:type="dxa" w:w="52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Take references from peers of similar size and subsector; check vendor viability.</w:t>
            </w:r>
          </w:p>
        </w:tc>
        <w:tc>
          <w:tcPr>
            <w:tcW w:type="dxa" w:w="17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1–2 weeks</w:t>
            </w:r>
          </w:p>
        </w:tc>
      </w:tr>
      <w:tr>
        <w:tc>
          <w:tcPr>
            <w:tcW w:type="dxa" w:w="21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8. Negotiate &amp; contract</w:t>
            </w:r>
          </w:p>
        </w:tc>
        <w:tc>
          <w:tcPr>
            <w:tcW w:type="dxa" w:w="52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Confirm licence model, implementation scope, data-migration ownership, SLAs and exit terms.</w:t>
            </w:r>
          </w:p>
        </w:tc>
        <w:tc>
          <w:tcPr>
            <w:tcW w:type="dxa" w:w="17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2–4 weeks</w:t>
            </w:r>
          </w:p>
        </w:tc>
      </w:tr>
    </w:tbl>
    <w:p>
      <w:pPr>
        <w:pStyle w:val="Heading2"/>
      </w:pPr>
      <w:r>
        <w:t xml:space="preserve">6.2 Who does what — the selection team</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500"/>
        <w:gridCol w:w="6526"/>
      </w:tblGrid>
      <w:tr>
        <w:trPr>
          <w:tblHeader/>
        </w:trPr>
        <w:tc>
          <w:tcPr>
            <w:tcW w:type="dxa" w:w="250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Role</w:t>
            </w:r>
          </w:p>
        </w:tc>
        <w:tc>
          <w:tcPr>
            <w:tcW w:type="dxa" w:w="6526"/>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Responsibility in selection</w:t>
            </w:r>
          </w:p>
        </w:tc>
      </w:tr>
      <w:tr>
        <w:tc>
          <w:tcPr>
            <w:tcW w:type="dxa" w:w="25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Executive sponsor (FD / MD)</w:t>
            </w:r>
          </w:p>
        </w:tc>
        <w:tc>
          <w:tcPr>
            <w:tcW w:type="dxa" w:w="65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Owns the business case, budget and final decision; unblocks the project.</w:t>
            </w:r>
          </w:p>
        </w:tc>
      </w:tr>
      <w:tr>
        <w:tc>
          <w:tcPr>
            <w:tcW w:type="dxa" w:w="25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Project lead</w:t>
            </w:r>
          </w:p>
        </w:tc>
        <w:tc>
          <w:tcPr>
            <w:tcW w:type="dxa" w:w="65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Runs the process day-to-day; coordinates requirements, RFP, demos and scoring.</w:t>
            </w:r>
          </w:p>
        </w:tc>
      </w:tr>
      <w:tr>
        <w:tc>
          <w:tcPr>
            <w:tcW w:type="dxa" w:w="25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Commercial / QS lead</w:t>
            </w:r>
          </w:p>
        </w:tc>
        <w:tc>
          <w:tcPr>
            <w:tcW w:type="dxa" w:w="65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Validates AfP, valuations, CVR, retentions and subcontract requirements.</w:t>
            </w:r>
          </w:p>
        </w:tc>
      </w:tr>
      <w:tr>
        <w:tc>
          <w:tcPr>
            <w:tcW w:type="dxa" w:w="25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Finance lead</w:t>
            </w:r>
          </w:p>
        </w:tc>
        <w:tc>
          <w:tcPr>
            <w:tcW w:type="dxa" w:w="65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Validates CIS, Domestic Reverse Charge, CITB, VAT/MTD, WIP and reporting.</w:t>
            </w:r>
          </w:p>
        </w:tc>
      </w:tr>
      <w:tr>
        <w:tc>
          <w:tcPr>
            <w:tcW w:type="dxa" w:w="25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Operations / site lead</w:t>
            </w:r>
          </w:p>
        </w:tc>
        <w:tc>
          <w:tcPr>
            <w:tcW w:type="dxa" w:w="65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Validates mobile, field workflows, plant and document control.</w:t>
            </w:r>
          </w:p>
        </w:tc>
      </w:tr>
      <w:tr>
        <w:tc>
          <w:tcPr>
            <w:tcW w:type="dxa" w:w="25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IT lead</w:t>
            </w:r>
          </w:p>
        </w:tc>
        <w:tc>
          <w:tcPr>
            <w:tcW w:type="dxa" w:w="65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Validates integration, data migration, security and infrastructure.</w:t>
            </w:r>
          </w:p>
        </w:tc>
      </w:tr>
      <w:tr>
        <w:tc>
          <w:tcPr>
            <w:tcW w:type="dxa" w:w="25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End-user reviewers</w:t>
            </w:r>
          </w:p>
        </w:tc>
        <w:tc>
          <w:tcPr>
            <w:tcW w:type="dxa" w:w="65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Test usability in demos — the people who will live in the system daily.</w:t>
            </w:r>
          </w:p>
        </w:tc>
      </w:tr>
    </w:tbl>
    <w:p>
      <w:pPr>
        <w:pStyle w:val="Heading2"/>
      </w:pPr>
      <w:r>
        <w:t xml:space="preserve">6.3 The weighted scoring template</w:t>
      </w:r>
    </w:p>
    <w:p>
      <w:pPr>
        <w:spacing w:after="140" w:line="276"/>
      </w:pPr>
      <w:r>
        <w:t xml:space="preserve">Score each shortlisted vendor 1–5 against weighted criteria; multiply by the weight; sum for a total. Weight compliance and functional fit most heavily. A typical weighting set: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500"/>
        <w:gridCol w:w="3526"/>
      </w:tblGrid>
      <w:tr>
        <w:trPr>
          <w:tblHeader/>
        </w:trPr>
        <w:tc>
          <w:tcPr>
            <w:tcW w:type="dxa" w:w="550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Criterion</w:t>
            </w:r>
          </w:p>
        </w:tc>
        <w:tc>
          <w:tcPr>
            <w:tcW w:type="dxa" w:w="3526"/>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Suggested weight</w:t>
            </w:r>
          </w:p>
        </w:tc>
      </w:tr>
      <w:tr>
        <w:tc>
          <w:tcPr>
            <w:tcW w:type="dxa" w:w="55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UK compliance (CIS, DRC, CITB, MTD, BSA)</w:t>
            </w:r>
          </w:p>
        </w:tc>
        <w:tc>
          <w:tcPr>
            <w:tcW w:type="dxa" w:w="35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20%</w:t>
            </w:r>
          </w:p>
        </w:tc>
      </w:tr>
      <w:tr>
        <w:tc>
          <w:tcPr>
            <w:tcW w:type="dxa" w:w="55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Functional fit (costing, AfP, CVR, subcontract)</w:t>
            </w:r>
          </w:p>
        </w:tc>
        <w:tc>
          <w:tcPr>
            <w:tcW w:type="dxa" w:w="35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20%</w:t>
            </w:r>
          </w:p>
        </w:tc>
      </w:tr>
      <w:tr>
        <w:tc>
          <w:tcPr>
            <w:tcW w:type="dxa" w:w="55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Total cost of ownership (5-year)</w:t>
            </w:r>
          </w:p>
        </w:tc>
        <w:tc>
          <w:tcPr>
            <w:tcW w:type="dxa" w:w="35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15%</w:t>
            </w:r>
          </w:p>
        </w:tc>
      </w:tr>
      <w:tr>
        <w:tc>
          <w:tcPr>
            <w:tcW w:type="dxa" w:w="55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Usability &amp; adoption</w:t>
            </w:r>
          </w:p>
        </w:tc>
        <w:tc>
          <w:tcPr>
            <w:tcW w:type="dxa" w:w="35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12%</w:t>
            </w:r>
          </w:p>
        </w:tc>
      </w:tr>
      <w:tr>
        <w:tc>
          <w:tcPr>
            <w:tcW w:type="dxa" w:w="55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Implementation approach &amp; timeline</w:t>
            </w:r>
          </w:p>
        </w:tc>
        <w:tc>
          <w:tcPr>
            <w:tcW w:type="dxa" w:w="35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10%</w:t>
            </w:r>
          </w:p>
        </w:tc>
      </w:tr>
      <w:tr>
        <w:tc>
          <w:tcPr>
            <w:tcW w:type="dxa" w:w="55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Integration &amp; data migration</w:t>
            </w:r>
          </w:p>
        </w:tc>
        <w:tc>
          <w:tcPr>
            <w:tcW w:type="dxa" w:w="35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10%</w:t>
            </w:r>
          </w:p>
        </w:tc>
      </w:tr>
      <w:tr>
        <w:tc>
          <w:tcPr>
            <w:tcW w:type="dxa" w:w="55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Mobile &amp; field capability</w:t>
            </w:r>
          </w:p>
        </w:tc>
        <w:tc>
          <w:tcPr>
            <w:tcW w:type="dxa" w:w="35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7%</w:t>
            </w:r>
          </w:p>
        </w:tc>
      </w:tr>
      <w:tr>
        <w:tc>
          <w:tcPr>
            <w:tcW w:type="dxa" w:w="55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Vendor viability &amp; UK support</w:t>
            </w:r>
          </w:p>
        </w:tc>
        <w:tc>
          <w:tcPr>
            <w:tcW w:type="dxa" w:w="35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6%</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9D4E0" w:sz="1"/>
              <w:left w:val="single" w:color="2E75B6" w:sz="18"/>
              <w:bottom w:val="single" w:color="C9D4E0" w:sz="1"/>
              <w:right w:val="single" w:color="C9D4E0" w:sz="1"/>
            </w:tcBorders>
            <w:shd w:fill="EAF1F8" w:val="clear"/>
            <w:tcMar>
              <w:top w:type="dxa" w:w="120"/>
              <w:left w:type="dxa" w:w="180"/>
              <w:bottom w:type="dxa" w:w="120"/>
              <w:right w:type="dxa" w:w="160"/>
            </w:tcMar>
          </w:tcPr>
          <w:p>
            <w:pPr>
              <w:spacing w:after="60"/>
            </w:pPr>
            <w:r>
              <w:rPr>
                <w:b/>
                <w:bCs/>
                <w:color w:val="1F3A5F"/>
                <w:sz w:val="19"/>
                <w:szCs w:val="19"/>
              </w:rPr>
              <w:t xml:space="preserve">Companion template</w:t>
            </w:r>
          </w:p>
          <w:p>
            <w:pPr>
              <w:spacing w:after="40" w:line="260"/>
            </w:pPr>
            <w:r>
              <w:rPr>
                <w:sz w:val="18"/>
                <w:szCs w:val="18"/>
              </w:rPr>
              <w:t xml:space="preserve">A ready-to-use </w:t>
            </w:r>
            <w:r>
              <w:rPr>
                <w:b/>
                <w:bCs/>
                <w:sz w:val="18"/>
                <w:szCs w:val="18"/>
              </w:rPr>
              <w:t xml:space="preserve">vendor scoring spreadsheet</w:t>
            </w:r>
            <w:r>
              <w:rPr>
                <w:sz w:val="18"/>
                <w:szCs w:val="18"/>
              </w:rPr>
              <w:t xml:space="preserve"> accompanies this guide. It pre-loads these weighted criteria, lets you score up to five vendors 1–5, and calculates weighted totals automatically — see Chapter 9.</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9D4E0" w:sz="1"/>
              <w:left w:val="single" w:color="2E75B6" w:sz="18"/>
              <w:bottom w:val="single" w:color="C9D4E0" w:sz="1"/>
              <w:right w:val="single" w:color="C9D4E0" w:sz="1"/>
            </w:tcBorders>
            <w:shd w:fill="EAF1F8" w:val="clear"/>
            <w:tcMar>
              <w:top w:type="dxa" w:w="130"/>
              <w:left w:type="dxa" w:w="180"/>
              <w:bottom w:type="dxa" w:w="130"/>
              <w:right w:type="dxa" w:w="160"/>
            </w:tcMar>
          </w:tcPr>
          <w:p>
            <w:pPr>
              <w:spacing w:after="50"/>
            </w:pPr>
            <w:r>
              <w:rPr>
                <w:b/>
                <w:bCs/>
                <w:color w:val="1F3A5F"/>
                <w:sz w:val="18"/>
                <w:szCs w:val="18"/>
              </w:rPr>
              <w:t xml:space="preserve">Want help running a structured, evidence-based selection?</w:t>
            </w:r>
          </w:p>
          <w:p>
            <w:pPr>
              <w:spacing w:after="0"/>
            </w:pPr>
            <w:hyperlink w:history="1" r:id="rIdinf_sr_yb3xkypmn_osva">
              <w:r>
                <w:rPr>
                  <w:b w:val="false"/>
                  <w:bCs w:val="false"/>
                  <w:color w:val="2E75B6"/>
                  <w:sz w:val="16"/>
                  <w:szCs w:val="16"/>
                  <w:u w:val="single"/>
                </w:rPr>
                <w:t xml:space="preserve">Book a working session with Construction365 Advisory  ›  construction365.co.uk/erp-health-check</w:t>
              </w:r>
            </w:hyperlink>
          </w:p>
        </w:tc>
      </w:tr>
    </w:tbl>
    <w:p>
      <w:r>
        <w:br w:type="page"/>
      </w:r>
    </w:p>
    <w:p>
      <w:pPr>
        <w:pStyle w:val="Heading1"/>
      </w:pPr>
      <w:r>
        <w:t xml:space="preserve">Chapter 7 — Hidden costs and red flags</w:t>
      </w:r>
    </w:p>
    <w:p>
      <w:pPr>
        <w:spacing w:after="140" w:line="276"/>
      </w:pPr>
      <w:r>
        <w:t xml:space="preserve">The licence fee is the smallest part of the story. The genuine cost of an ERP is dominated by implementation, integration, data migration, training and the productivity dip at go-live. Budget for the whole picture.</w:t>
      </w:r>
    </w:p>
    <w:p>
      <w:pPr>
        <w:pStyle w:val="Heading2"/>
      </w:pPr>
      <w:r>
        <w:t xml:space="preserve">7.1 Indicative total cost by size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900"/>
        <w:gridCol w:w="3500"/>
        <w:gridCol w:w="3626"/>
      </w:tblGrid>
      <w:tr>
        <w:trPr>
          <w:tblHeader/>
        </w:trPr>
        <w:tc>
          <w:tcPr>
            <w:tcW w:type="dxa" w:w="190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Size band</w:t>
            </w:r>
          </w:p>
        </w:tc>
        <w:tc>
          <w:tcPr>
            <w:tcW w:type="dxa" w:w="350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Indicative yr-1 total (sw + impl)</w:t>
            </w:r>
          </w:p>
        </w:tc>
        <w:tc>
          <w:tcPr>
            <w:tcW w:type="dxa" w:w="3626"/>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Notes</w:t>
            </w:r>
          </w:p>
        </w:tc>
      </w:tr>
      <w:tr>
        <w:tc>
          <w:tcPr>
            <w:tcW w:type="dxa" w:w="19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Micro / small</w:t>
            </w:r>
          </w:p>
        </w:tc>
        <w:tc>
          <w:tcPr>
            <w:tcW w:type="dxa" w:w="35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£3,000 – £25,000</w:t>
            </w:r>
          </w:p>
        </w:tc>
        <w:tc>
          <w:tcPr>
            <w:tcW w:type="dxa" w:w="36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Per-user SaaS (£15–£80/user/mo) or flat-rate; light onboarding.</w:t>
            </w:r>
          </w:p>
        </w:tc>
      </w:tr>
      <w:tr>
        <w:tc>
          <w:tcPr>
            <w:tcW w:type="dxa" w:w="19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Medium</w:t>
            </w:r>
          </w:p>
        </w:tc>
        <w:tc>
          <w:tcPr>
            <w:tcW w:type="dxa" w:w="35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£25,000 – £120,000</w:t>
            </w:r>
          </w:p>
        </w:tc>
        <w:tc>
          <w:tcPr>
            <w:tcW w:type="dxa" w:w="36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Construction-specific mid-market suites; 4–9 month builds.</w:t>
            </w:r>
          </w:p>
        </w:tc>
      </w:tr>
      <w:tr>
        <w:tc>
          <w:tcPr>
            <w:tcW w:type="dxa" w:w="19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Large</w:t>
            </w:r>
          </w:p>
        </w:tc>
        <w:tc>
          <w:tcPr>
            <w:tcW w:type="dxa" w:w="35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£120,000 – £400,000</w:t>
            </w:r>
          </w:p>
        </w:tc>
        <w:tc>
          <w:tcPr>
            <w:tcW w:type="dxa" w:w="36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Full ERP; multi-entity, integrations, change management.</w:t>
            </w:r>
          </w:p>
        </w:tc>
      </w:tr>
      <w:tr>
        <w:tc>
          <w:tcPr>
            <w:tcW w:type="dxa" w:w="19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Enterprise / Tier 1</w:t>
            </w:r>
          </w:p>
        </w:tc>
        <w:tc>
          <w:tcPr>
            <w:tcW w:type="dxa" w:w="35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£300,000 – £5,000,000+</w:t>
            </w:r>
          </w:p>
        </w:tc>
        <w:tc>
          <w:tcPr>
            <w:tcW w:type="dxa" w:w="36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Multi-year programmes; six/seven-figure run cost is normal.</w:t>
            </w:r>
          </w:p>
        </w:tc>
      </w:tr>
    </w:tbl>
    <w:p>
      <w:pPr>
        <w:pStyle w:val="Heading2"/>
      </w:pPr>
      <w:r>
        <w:t xml:space="preserve">7.2 What vendors don’t always tell you</w:t>
      </w:r>
    </w:p>
    <w:p>
      <w:pPr>
        <w:pStyle w:val="ListParagraph"/>
        <w:numPr>
          <w:ilvl w:val="0"/>
          <w:numId w:val="2"/>
        </w:numPr>
        <w:spacing w:after="64" w:line="264"/>
      </w:pPr>
      <w:r>
        <w:rPr>
          <w:b/>
          <w:bCs/>
        </w:rPr>
        <w:t xml:space="preserve">Implementation can equal or exceed year-one licence cost</w:t>
      </w:r>
      <w:r>
        <w:t xml:space="preserve"> — and overruns are common when scope is loose.</w:t>
      </w:r>
    </w:p>
    <w:p>
      <w:pPr>
        <w:pStyle w:val="ListParagraph"/>
        <w:numPr>
          <w:ilvl w:val="0"/>
          <w:numId w:val="2"/>
        </w:numPr>
        <w:spacing w:after="64" w:line="264"/>
      </w:pPr>
      <w:r>
        <w:rPr>
          <w:b/>
          <w:bCs/>
        </w:rPr>
        <w:t xml:space="preserve">Data migration</w:t>
      </w:r>
      <w:r>
        <w:t xml:space="preserve"> from legacy systems and spreadsheets is routinely under-scoped.</w:t>
      </w:r>
    </w:p>
    <w:p>
      <w:pPr>
        <w:pStyle w:val="ListParagraph"/>
        <w:numPr>
          <w:ilvl w:val="0"/>
          <w:numId w:val="2"/>
        </w:numPr>
        <w:spacing w:after="64" w:line="264"/>
      </w:pPr>
      <w:r>
        <w:rPr>
          <w:b/>
          <w:bCs/>
        </w:rPr>
        <w:t xml:space="preserve">Integration and API work</w:t>
      </w:r>
      <w:r>
        <w:t xml:space="preserve"> to connect estimating, payroll, PM hubs and banking is often custom and chargeable.</w:t>
      </w:r>
    </w:p>
    <w:p>
      <w:pPr>
        <w:pStyle w:val="ListParagraph"/>
        <w:numPr>
          <w:ilvl w:val="0"/>
          <w:numId w:val="2"/>
        </w:numPr>
        <w:spacing w:after="64" w:line="264"/>
      </w:pPr>
      <w:r>
        <w:rPr>
          <w:b/>
          <w:bCs/>
        </w:rPr>
        <w:t xml:space="preserve">Add-on modules</w:t>
      </w:r>
      <w:r>
        <w:t xml:space="preserve"> (payroll, plant, estimating, advanced reporting) are frequently priced separately from the headline.</w:t>
      </w:r>
    </w:p>
    <w:p>
      <w:pPr>
        <w:pStyle w:val="ListParagraph"/>
        <w:numPr>
          <w:ilvl w:val="0"/>
          <w:numId w:val="2"/>
        </w:numPr>
        <w:spacing w:after="64" w:line="264"/>
      </w:pPr>
      <w:r>
        <w:rPr>
          <w:b/>
          <w:bCs/>
        </w:rPr>
        <w:t xml:space="preserve">Per-user pricing creep</w:t>
      </w:r>
      <w:r>
        <w:t xml:space="preserve"> turns growth into a recurring tax; model cost at your projected size, not today’s.</w:t>
      </w:r>
    </w:p>
    <w:p>
      <w:pPr>
        <w:pStyle w:val="ListParagraph"/>
        <w:numPr>
          <w:ilvl w:val="0"/>
          <w:numId w:val="2"/>
        </w:numPr>
        <w:spacing w:after="64" w:line="264"/>
      </w:pPr>
      <w:r>
        <w:rPr>
          <w:b/>
          <w:bCs/>
        </w:rPr>
        <w:t xml:space="preserve">The productivity dip</w:t>
      </w:r>
      <w:r>
        <w:t xml:space="preserve"> at go-live is real: ~10–15% for simple platforms, rising to 25–40% for enterprise systems for several weeks.</w:t>
      </w:r>
    </w:p>
    <w:p>
      <w:pPr>
        <w:pStyle w:val="ListParagraph"/>
        <w:numPr>
          <w:ilvl w:val="0"/>
          <w:numId w:val="2"/>
        </w:numPr>
        <w:spacing w:after="64" w:line="264"/>
      </w:pPr>
      <w:r>
        <w:rPr>
          <w:b/>
          <w:bCs/>
        </w:rPr>
        <w:t xml:space="preserve">Annual uplifts, renewal caps, mandatory upgrades, premium support tiers, hosting and exit/data-extraction fees</w:t>
      </w:r>
      <w:r>
        <w:t xml:space="preserve"> all add to five-year TCO.</w:t>
      </w:r>
    </w:p>
    <w:p>
      <w:pPr>
        <w:pStyle w:val="Heading2"/>
      </w:pPr>
      <w:r>
        <w:t xml:space="preserve">7.3 Vendor red flags</w:t>
      </w:r>
    </w:p>
    <w:p>
      <w:pPr>
        <w:pStyle w:val="ListParagraph"/>
        <w:numPr>
          <w:ilvl w:val="0"/>
          <w:numId w:val="2"/>
        </w:numPr>
        <w:spacing w:after="64" w:line="264"/>
      </w:pPr>
      <w:r>
        <w:t xml:space="preserve">Reluctance to </w:t>
      </w:r>
      <w:r>
        <w:rPr>
          <w:b/>
          <w:bCs/>
        </w:rPr>
        <w:t xml:space="preserve">demo on your data</w:t>
      </w:r>
      <w:r>
        <w:t xml:space="preserve">, or vagueness on whether CIS/DRC are native or via add-on.</w:t>
      </w:r>
    </w:p>
    <w:p>
      <w:pPr>
        <w:pStyle w:val="ListParagraph"/>
        <w:numPr>
          <w:ilvl w:val="0"/>
          <w:numId w:val="2"/>
        </w:numPr>
        <w:spacing w:after="64" w:line="264"/>
      </w:pPr>
      <w:r>
        <w:rPr>
          <w:b/>
          <w:bCs/>
        </w:rPr>
        <w:t xml:space="preserve">“Coming soon” roadmap promises</w:t>
      </w:r>
      <w:r>
        <w:t xml:space="preserve"> for features you need today.</w:t>
      </w:r>
    </w:p>
    <w:p>
      <w:pPr>
        <w:pStyle w:val="ListParagraph"/>
        <w:numPr>
          <w:ilvl w:val="0"/>
          <w:numId w:val="2"/>
        </w:numPr>
        <w:spacing w:after="64" w:line="264"/>
      </w:pPr>
      <w:r>
        <w:rPr>
          <w:b/>
          <w:bCs/>
        </w:rPr>
        <w:t xml:space="preserve">Discount deadlines and pressure tactics</w:t>
      </w:r>
      <w:r>
        <w:t xml:space="preserve"> to force a fast signature.</w:t>
      </w:r>
    </w:p>
    <w:p>
      <w:pPr>
        <w:pStyle w:val="ListParagraph"/>
        <w:numPr>
          <w:ilvl w:val="0"/>
          <w:numId w:val="2"/>
        </w:numPr>
        <w:spacing w:after="64" w:line="264"/>
      </w:pPr>
      <w:r>
        <w:rPr>
          <w:b/>
          <w:bCs/>
        </w:rPr>
        <w:t xml:space="preserve">Reference customers</w:t>
      </w:r>
      <w:r>
        <w:t xml:space="preserve"> that are all dissimilar in size or subsector to you.</w:t>
      </w:r>
    </w:p>
    <w:p>
      <w:pPr>
        <w:pStyle w:val="ListParagraph"/>
        <w:numPr>
          <w:ilvl w:val="0"/>
          <w:numId w:val="2"/>
        </w:numPr>
        <w:spacing w:after="64" w:line="264"/>
      </w:pPr>
      <w:r>
        <w:rPr>
          <w:b/>
          <w:bCs/>
        </w:rPr>
        <w:t xml:space="preserve">Opaque pricing</w:t>
      </w:r>
      <w:r>
        <w:t xml:space="preserve">, heavy required customisation for basic needs, or unclear data ownership and exit terms.</w:t>
      </w:r>
    </w:p>
    <w:p>
      <w:pPr>
        <w:pStyle w:val="ListParagraph"/>
        <w:numPr>
          <w:ilvl w:val="0"/>
          <w:numId w:val="2"/>
        </w:numPr>
        <w:spacing w:after="64" w:line="264"/>
      </w:pPr>
      <w:r>
        <w:rPr>
          <w:b/>
          <w:bCs/>
        </w:rPr>
        <w:t xml:space="preserve">Over-reliance on heavy customisation</w:t>
      </w:r>
      <w:r>
        <w:t xml:space="preserve"> — if standard construction workflows (CIS, AfP, CVR) only work after extensive bespoke development, you are buying a custom build, not a product: expect higher cost, slower upgrades and fragility at every release.</w:t>
      </w:r>
    </w:p>
    <w:p>
      <w:pPr>
        <w:pStyle w:val="Heading2"/>
      </w:pPr>
      <w:r>
        <w:t xml:space="preserve">7.4 Implementation-partner selection checklist</w:t>
      </w:r>
    </w:p>
    <w:p>
      <w:pPr>
        <w:spacing w:after="140" w:line="276"/>
      </w:pPr>
      <w:r>
        <w:t xml:space="preserve">For partner-delivered platforms (Dynamics, Acumatica, NetSuite, SAP and others), the partner often matters more than the product. Check:</w:t>
      </w:r>
    </w:p>
    <w:p>
      <w:pPr>
        <w:pStyle w:val="ListParagraph"/>
        <w:numPr>
          <w:ilvl w:val="0"/>
          <w:numId w:val="2"/>
        </w:numPr>
        <w:spacing w:after="64" w:line="264"/>
      </w:pPr>
      <w:r>
        <w:t xml:space="preserve">Demonstrable </w:t>
      </w:r>
      <w:r>
        <w:rPr>
          <w:b/>
          <w:bCs/>
        </w:rPr>
        <w:t xml:space="preserve">UK construction track record</w:t>
      </w:r>
      <w:r>
        <w:t xml:space="preserve">, with references in your subsector and size.</w:t>
      </w:r>
    </w:p>
    <w:p>
      <w:pPr>
        <w:pStyle w:val="ListParagraph"/>
        <w:numPr>
          <w:ilvl w:val="0"/>
          <w:numId w:val="2"/>
        </w:numPr>
        <w:spacing w:after="64" w:line="264"/>
      </w:pPr>
      <w:r>
        <w:t xml:space="preserve">A </w:t>
      </w:r>
      <w:r>
        <w:rPr>
          <w:b/>
          <w:bCs/>
        </w:rPr>
        <w:t xml:space="preserve">named delivery team and methodology</w:t>
      </w:r>
      <w:r>
        <w:t xml:space="preserve">, not just a sales contact.</w:t>
      </w:r>
    </w:p>
    <w:p>
      <w:pPr>
        <w:pStyle w:val="ListParagraph"/>
        <w:numPr>
          <w:ilvl w:val="0"/>
          <w:numId w:val="2"/>
        </w:numPr>
        <w:spacing w:after="64" w:line="264"/>
      </w:pPr>
      <w:r>
        <w:t xml:space="preserve">A concrete </w:t>
      </w:r>
      <w:r>
        <w:rPr>
          <w:b/>
          <w:bCs/>
        </w:rPr>
        <w:t xml:space="preserve">data-migration approach</w:t>
      </w:r>
      <w:r>
        <w:t xml:space="preserve"> and </w:t>
      </w:r>
      <w:r>
        <w:rPr>
          <w:b/>
          <w:bCs/>
        </w:rPr>
        <w:t xml:space="preserve">CIS/DRC configuration experience</w:t>
      </w:r>
      <w:r>
        <w:t xml:space="preserve">.</w:t>
      </w:r>
    </w:p>
    <w:p>
      <w:pPr>
        <w:pStyle w:val="ListParagraph"/>
        <w:numPr>
          <w:ilvl w:val="0"/>
          <w:numId w:val="2"/>
        </w:numPr>
        <w:spacing w:after="64" w:line="264"/>
      </w:pPr>
      <w:r>
        <w:t xml:space="preserve">A defined </w:t>
      </w:r>
      <w:r>
        <w:rPr>
          <w:b/>
          <w:bCs/>
        </w:rPr>
        <w:t xml:space="preserve">training and change-management plan</w:t>
      </w:r>
      <w:r>
        <w:t xml:space="preserve">, and a clear </w:t>
      </w:r>
      <w:r>
        <w:rPr>
          <w:b/>
          <w:bCs/>
        </w:rPr>
        <w:t xml:space="preserve">support model with SLAs</w:t>
      </w:r>
      <w:r>
        <w:t xml:space="preserve">.</w:t>
      </w:r>
    </w:p>
    <w:p>
      <w:pPr>
        <w:pStyle w:val="ListParagraph"/>
        <w:numPr>
          <w:ilvl w:val="0"/>
          <w:numId w:val="2"/>
        </w:numPr>
        <w:spacing w:after="64" w:line="264"/>
      </w:pPr>
      <w:r>
        <w:t xml:space="preserve">Transparent </w:t>
      </w:r>
      <w:r>
        <w:rPr>
          <w:b/>
          <w:bCs/>
        </w:rPr>
        <w:t xml:space="preserve">commercials</w:t>
      </w:r>
      <w:r>
        <w:t xml:space="preserve"> (fixed-price vs time-and-materials) and explicit </w:t>
      </w:r>
      <w:r>
        <w:rPr>
          <w:b/>
          <w:bCs/>
        </w:rPr>
        <w:t xml:space="preserve">exit / data-portability terms</w:t>
      </w:r>
      <w:r>
        <w:t xml:space="preserve">.</w:t>
      </w:r>
    </w:p>
    <w:p>
      <w:r>
        <w:br w:type="page"/>
      </w:r>
    </w:p>
    <w:p>
      <w:pPr>
        <w:pStyle w:val="Heading1"/>
      </w:pPr>
      <w:r>
        <w:t xml:space="preserve">Chapter 8 — Real contractor case studies</w:t>
      </w:r>
    </w:p>
    <w:p>
      <w:pPr>
        <w:spacing w:after="140" w:line="276"/>
      </w:pPr>
      <w:r>
        <w:rPr>
          <w:i/>
          <w:iCs/>
          <w:color w:val="5B6B7B"/>
          <w:sz w:val="19"/>
          <w:szCs w:val="19"/>
        </w:rPr>
        <w:t xml:space="preserve">The following are illustrative composite scenarios built from common UK patterns to show how the framework plays out in practice. They are not specific named clients, and figures are indicative.</w:t>
      </w:r>
    </w:p>
    <w:p>
      <w:pPr>
        <w:pStyle w:val="Heading2"/>
      </w:pPr>
      <w:r>
        <w:t xml:space="preserve">8.1 £8m regional contractor (groundworks + general build, ~60 staff)</w:t>
      </w:r>
    </w:p>
    <w:p>
      <w:pPr>
        <w:spacing w:after="140" w:line="276"/>
      </w:pPr>
      <w:r>
        <w:t xml:space="preserve">Situation.</w:t>
      </w:r>
      <w:r>
        <w:t xml:space="preserve"> Sage 50 plus spreadsheets. CVR maintained in Excel, CIS handled manually, and no live view of project margin until final account. Month-end was slow and error-prone.</w:t>
      </w:r>
    </w:p>
    <w:p>
      <w:pPr>
        <w:spacing w:after="140" w:line="276"/>
      </w:pPr>
      <w:r>
        <w:t xml:space="preserve">Decision.</w:t>
      </w:r>
      <w:r>
        <w:t xml:space="preserve"> A mid-market, Sage-integrated construction solution (e.g. Eque2 Construct for Sage) that kept the familiar accounting core while adding job costing, applications for payment, retentions and automated CIS.</w:t>
      </w:r>
    </w:p>
    <w:p>
      <w:pPr>
        <w:spacing w:after="140" w:line="276"/>
      </w:pPr>
      <w:r>
        <w:t xml:space="preserve">Outcome.</w:t>
      </w:r>
      <w:r>
        <w:t xml:space="preserve"> Live job costing and committed-cost visibility, CIS verification and returns automated, and AfPs produced in-system. Illustratively, month-end close fell from around ten days to four, CIS returns dropped from half a day to under an hour, and leadership gained its first reliable live margin view across every job. Indicative year-one cost ~£35k; implementation in 3–4 months.</w:t>
      </w:r>
    </w:p>
    <w:p>
      <w:pPr>
        <w:spacing w:after="140" w:line="276"/>
      </w:pPr>
      <w:r>
        <w:rPr>
          <w:color w:val="1F3A5F"/>
          <w:sz w:val="19"/>
          <w:szCs w:val="19"/>
        </w:rPr>
        <w:t xml:space="preserve">Lesson.</w:t>
      </w:r>
      <w:r>
        <w:rPr>
          <w:color w:val="1F3A5F"/>
          <w:sz w:val="19"/>
          <w:szCs w:val="19"/>
        </w:rPr>
        <w:t xml:space="preserve"> A smaller contractor does not need a tier-1 ERP — it needs construction-specific commercial control on top of solid accounting, delivered quickly and affordably.</w:t>
      </w:r>
    </w:p>
    <w:p>
      <w:pPr>
        <w:pStyle w:val="Heading2"/>
      </w:pPr>
      <w:r>
        <w:t xml:space="preserve">8.2 £45m main contractor (~200 staff, multi-site, JCT/NEC)</w:t>
      </w:r>
    </w:p>
    <w:p>
      <w:pPr>
        <w:spacing w:after="140" w:line="276"/>
      </w:pPr>
      <w:r>
        <w:t xml:space="preserve">Situation.</w:t>
      </w:r>
      <w:r>
        <w:t xml:space="preserve"> The business had outgrown a mid-market system. Multiple entities, growing subcontractor spend, and a need for cloud access and field data capture across sites.</w:t>
      </w:r>
    </w:p>
    <w:p>
      <w:pPr>
        <w:spacing w:after="140" w:line="276"/>
      </w:pPr>
      <w:r>
        <w:t xml:space="preserve">Decision.</w:t>
      </w:r>
      <w:r>
        <w:t xml:space="preserve"> A construction-native ERP (e.g. Access Coins Evo or COINS) consolidating finance, commercial, procurement, payroll and field operations onto one platform with native UK tax handling.</w:t>
      </w:r>
    </w:p>
    <w:p>
      <w:pPr>
        <w:spacing w:after="140" w:line="276"/>
      </w:pPr>
      <w:r>
        <w:t xml:space="preserve">Outcome.</w:t>
      </w:r>
      <w:r>
        <w:t xml:space="preserve"> A single source of truth, disciplined CVR, stronger cash visibility through better AfP and retention control, and consolidated multi-entity reporting. Illustratively, the group moved from a two-week manual consolidation to a close measured in days, improved retention recovery, and caught margin slippage at monthly CVR rather than at final account. Indicative year-one cost ~£150k–£250k; implementation 9–12 months.</w:t>
      </w:r>
    </w:p>
    <w:p>
      <w:pPr>
        <w:spacing w:after="140" w:line="276"/>
      </w:pPr>
      <w:r>
        <w:rPr>
          <w:color w:val="1F3A5F"/>
          <w:sz w:val="19"/>
          <w:szCs w:val="19"/>
        </w:rPr>
        <w:t xml:space="preserve">Lesson.</w:t>
      </w:r>
      <w:r>
        <w:rPr>
          <w:color w:val="1F3A5F"/>
          <w:sz w:val="19"/>
          <w:szCs w:val="19"/>
        </w:rPr>
        <w:t xml:space="preserve"> At this scale the prize is consolidation and control; the trade-off is a heavier, longer implementation that demands a senior sponsor and a dedicated project team.</w:t>
      </w:r>
    </w:p>
    <w:p>
      <w:pPr>
        <w:pStyle w:val="Heading2"/>
      </w:pPr>
      <w:r>
        <w:t xml:space="preserve">8.3 Specialist trade business (£12m M&amp;E subcontractor with maintenance arm, ~90 staff)</w:t>
      </w:r>
    </w:p>
    <w:p>
      <w:pPr>
        <w:spacing w:after="140" w:line="276"/>
      </w:pPr>
      <w:r>
        <w:t xml:space="preserve">Situation.</w:t>
      </w:r>
      <w:r>
        <w:t xml:space="preserve"> A mix of project subcontract packages (issuing applications for payment under JCT/NEC, with CIS) and recurring service/PPM work with field engineers and asset registers — two operating models in one business.</w:t>
      </w:r>
    </w:p>
    <w:p>
      <w:pPr>
        <w:spacing w:after="140" w:line="276"/>
      </w:pPr>
      <w:r>
        <w:t xml:space="preserve">Decision.</w:t>
      </w:r>
      <w:r>
        <w:t xml:space="preserve"> A hybrid architecture: a construction costing/commercial core (e.g. Eque2 or Integrity) integrated with a field-service platform (e.g. Joblogic or Simpro) for scheduling, mobile and asset/PPM.</w:t>
      </w:r>
    </w:p>
    <w:p>
      <w:pPr>
        <w:spacing w:after="140" w:line="276"/>
      </w:pPr>
      <w:r>
        <w:t xml:space="preserve">Outcome.</w:t>
      </w:r>
      <w:r>
        <w:t xml:space="preserve"> AfP and CIS handled on the project side, field scheduling and compliance certificates on the service side, with shared financial data. Illustratively, engineer scheduling lifted first-time-fix rates and gave real utilisation visibility, and applications for payment went out on time rather than in arrears. Indicative year-one cost ~£40k–£80k depending on module split.</w:t>
      </w:r>
    </w:p>
    <w:p>
      <w:pPr>
        <w:spacing w:after="140" w:line="276"/>
      </w:pPr>
      <w:r>
        <w:rPr>
          <w:color w:val="1F3A5F"/>
          <w:sz w:val="19"/>
          <w:szCs w:val="19"/>
        </w:rPr>
        <w:t xml:space="preserve">Lesson.</w:t>
      </w:r>
      <w:r>
        <w:rPr>
          <w:color w:val="1F3A5F"/>
          <w:sz w:val="19"/>
          <w:szCs w:val="19"/>
        </w:rPr>
        <w:t xml:space="preserve"> Businesses that straddle project and service work should map both models first; the right answer is often a deliberate best-of-breed pairing with tested integration, not a single compromise system.</w:t>
      </w:r>
    </w:p>
    <w:p>
      <w:pPr>
        <w:pStyle w:val="Heading2"/>
      </w:pPr>
      <w:r>
        <w:t xml:space="preserve">8.4 Regional housebuilder (~250 units/year, ~120 staff)</w:t>
      </w:r>
    </w:p>
    <w:p>
      <w:pPr>
        <w:spacing w:after="140" w:line="276"/>
      </w:pPr>
      <w:r>
        <w:t xml:space="preserve">Situation.</w:t>
      </w:r>
      <w:r>
        <w:t xml:space="preserve"> A land-led developer running build, sales and customer care on a mix of a generic finance system and spreadsheets. Plot-level cost visibility was poor, land appraisals lived in Excel, and sales completions were reconciled manually against build cost.</w:t>
      </w:r>
    </w:p>
    <w:p>
      <w:pPr>
        <w:spacing w:after="140" w:line="276"/>
      </w:pPr>
      <w:r>
        <w:t xml:space="preserve">Decision.</w:t>
      </w:r>
      <w:r>
        <w:t xml:space="preserve"> A housebuilding-specific platform (e.g. COINS or Eque2 Housebuilding) covering land appraisal, plot/unit costing, build, sales and customer care on one system with native CIS and the Building Safety Act golden thread.</w:t>
      </w:r>
    </w:p>
    <w:p>
      <w:pPr>
        <w:spacing w:after="140" w:line="276"/>
      </w:pPr>
      <w:r>
        <w:t xml:space="preserve">Outcome.</w:t>
      </w:r>
      <w:r>
        <w:t xml:space="preserve"> Plot-level cost and margin visibility, land appraisals modelled in-system, and sales/build/care joined up. Illustratively, the developer gained live cost-to-complete per plot, cut the time to produce a board-ready development appraisal from days to hours, and tightened the golden-thread audit trail ahead of building-safety duties. Indicative year-one cost ~£80k–£200k; implementation 6–12 months.</w:t>
      </w:r>
    </w:p>
    <w:p>
      <w:pPr>
        <w:spacing w:after="140" w:line="276"/>
      </w:pPr>
      <w:r>
        <w:rPr>
          <w:color w:val="1F3A5F"/>
          <w:sz w:val="19"/>
          <w:szCs w:val="19"/>
        </w:rPr>
        <w:t xml:space="preserve">Lesson.</w:t>
      </w:r>
      <w:r>
        <w:rPr>
          <w:color w:val="1F3A5F"/>
          <w:sz w:val="19"/>
          <w:szCs w:val="19"/>
        </w:rPr>
        <w:t xml:space="preserve"> Housebuilders have a distinct operating model — land, units, long cash cycles and customer care — that general contracting ERP handles poorly; choose a platform with genuine housebuilding depth.</w:t>
      </w:r>
    </w:p>
    <w:p>
      <w:pPr>
        <w:pStyle w:val="Heading2"/>
      </w:pPr>
      <w:r>
        <w:t xml:space="preserve">8.5 £120m civil engineering contractor (~450 staff, NEC, JV-heavy)</w:t>
      </w:r>
    </w:p>
    <w:p>
      <w:pPr>
        <w:spacing w:after="140" w:line="276"/>
      </w:pPr>
      <w:r>
        <w:t xml:space="preserve">Situation.</w:t>
      </w:r>
      <w:r>
        <w:t xml:space="preserve"> Long NEC infrastructure programmes delivered partly through joint ventures, with significant owned plant. The incumbent system struggled with NEC compensation events, JV accounting and plant utilisation, and reporting was slow across entities.</w:t>
      </w:r>
    </w:p>
    <w:p>
      <w:pPr>
        <w:spacing w:after="140" w:line="276"/>
      </w:pPr>
      <w:r>
        <w:t xml:space="preserve">Decision.</w:t>
      </w:r>
      <w:r>
        <w:t xml:space="preserve"> An enterprise construction or project-and-asset ERP (e.g. COINS, Trimble Viewpoint or IFS Cloud) with NEC handling, multi-entity/JV accounting, earned-value reporting and integrated plant management.</w:t>
      </w:r>
    </w:p>
    <w:p>
      <w:pPr>
        <w:spacing w:after="140" w:line="276"/>
      </w:pPr>
      <w:r>
        <w:t xml:space="preserve">Outcome.</w:t>
      </w:r>
      <w:r>
        <w:t xml:space="preserve"> Compensation events and earned value tracked in-system, JV positions consolidated, and plant utilisation made visible. Illustratively, the contractor improved plant utilisation by reallocating idle assets, shortened programme cost reporting from weeks to days, and strengthened its NEC change position with a cleaner audit trail. Indicative year-one cost ~£250k–£600k; implementation 12–18 months.</w:t>
      </w:r>
    </w:p>
    <w:p>
      <w:pPr>
        <w:spacing w:after="140" w:line="276"/>
      </w:pPr>
      <w:r>
        <w:rPr>
          <w:color w:val="1F3A5F"/>
          <w:sz w:val="19"/>
          <w:szCs w:val="19"/>
        </w:rPr>
        <w:t xml:space="preserve">Lesson.</w:t>
      </w:r>
      <w:r>
        <w:rPr>
          <w:color w:val="1F3A5F"/>
          <w:sz w:val="19"/>
          <w:szCs w:val="19"/>
        </w:rPr>
        <w:t xml:space="preserve"> Civils buyers should weight NEC, earned value, JV accounting and plant most heavily — and budget for a longer, governance-led implementation at this scale.</w:t>
      </w:r>
    </w:p>
    <w:p>
      <w:r>
        <w:br w:type="page"/>
      </w:r>
    </w:p>
    <w:p>
      <w:pPr>
        <w:pStyle w:val="Heading1"/>
      </w:pPr>
      <w:r>
        <w:t xml:space="preserve">Chapter 9 — Your action plan and templates</w:t>
      </w:r>
    </w:p>
    <w:p>
      <w:pPr>
        <w:spacing w:after="140" w:line="276"/>
      </w:pPr>
      <w:r>
        <w:t xml:space="preserve">This chapter turns the guide into action: a reusable RFP/ITT skeleton, the structure of the companion scoring spreadsheet, and a 90-day post-selection checklist.</w:t>
      </w:r>
    </w:p>
    <w:p>
      <w:pPr>
        <w:pStyle w:val="Heading2"/>
      </w:pPr>
      <w:r>
        <w:t xml:space="preserve">9.1 RFP / ITT template (skeleton)</w:t>
      </w:r>
    </w:p>
    <w:p>
      <w:pPr>
        <w:spacing w:after="140" w:line="276"/>
      </w:pPr>
      <w:r>
        <w:t xml:space="preserve">Issue a focused document built around your must-haves and real scenarios — not a generic feature dump. Suggested sections:</w:t>
      </w:r>
    </w:p>
    <w:p>
      <w:pPr>
        <w:pStyle w:val="ListParagraph"/>
        <w:numPr>
          <w:ilvl w:val="0"/>
          <w:numId w:val="3"/>
        </w:numPr>
        <w:spacing w:after="64" w:line="264"/>
      </w:pPr>
      <w:r>
        <w:rPr>
          <w:b/>
          <w:bCs/>
        </w:rPr>
        <w:t xml:space="preserve">Company background</w:t>
      </w:r>
      <w:r>
        <w:t xml:space="preserve"> — turnover, headcount, subsectors, entities, contract forms, current systems.</w:t>
      </w:r>
    </w:p>
    <w:p>
      <w:pPr>
        <w:pStyle w:val="ListParagraph"/>
        <w:numPr>
          <w:ilvl w:val="0"/>
          <w:numId w:val="3"/>
        </w:numPr>
        <w:spacing w:after="64" w:line="264"/>
      </w:pPr>
      <w:r>
        <w:rPr>
          <w:b/>
          <w:bCs/>
        </w:rPr>
        <w:t xml:space="preserve">Objectives &amp; drivers</w:t>
      </w:r>
      <w:r>
        <w:t xml:space="preserve"> — the problems to solve and the outcomes sought (cash flow, margin, compliance, control).</w:t>
      </w:r>
    </w:p>
    <w:p>
      <w:pPr>
        <w:pStyle w:val="ListParagraph"/>
        <w:numPr>
          <w:ilvl w:val="0"/>
          <w:numId w:val="3"/>
        </w:numPr>
        <w:spacing w:after="64" w:line="264"/>
      </w:pPr>
      <w:r>
        <w:rPr>
          <w:b/>
          <w:bCs/>
        </w:rPr>
        <w:t xml:space="preserve">Scope &amp; modules</w:t>
      </w:r>
      <w:r>
        <w:t xml:space="preserve"> — finance, commercial, procurement, payroll, plant, field, document control.</w:t>
      </w:r>
    </w:p>
    <w:p>
      <w:pPr>
        <w:pStyle w:val="ListParagraph"/>
        <w:numPr>
          <w:ilvl w:val="0"/>
          <w:numId w:val="3"/>
        </w:numPr>
        <w:spacing w:after="64" w:line="264"/>
      </w:pPr>
      <w:r>
        <w:rPr>
          <w:b/>
          <w:bCs/>
        </w:rPr>
        <w:t xml:space="preserve">Functional requirements</w:t>
      </w:r>
      <w:r>
        <w:t xml:space="preserve"> — by area, each marked must-have or desirable (use the Chapter 2 checklist).</w:t>
      </w:r>
    </w:p>
    <w:p>
      <w:pPr>
        <w:pStyle w:val="ListParagraph"/>
        <w:numPr>
          <w:ilvl w:val="0"/>
          <w:numId w:val="3"/>
        </w:numPr>
        <w:spacing w:after="64" w:line="264"/>
      </w:pPr>
      <w:r>
        <w:rPr>
          <w:b/>
          <w:bCs/>
        </w:rPr>
        <w:t xml:space="preserve">UK compliance requirements</w:t>
      </w:r>
      <w:r>
        <w:t xml:space="preserve"> — CIS, Domestic Reverse Charge, CITB, MTD, Building Safety Act; native vs add-on to be stated.</w:t>
      </w:r>
    </w:p>
    <w:p>
      <w:pPr>
        <w:pStyle w:val="ListParagraph"/>
        <w:numPr>
          <w:ilvl w:val="0"/>
          <w:numId w:val="3"/>
        </w:numPr>
        <w:spacing w:after="64" w:line="264"/>
      </w:pPr>
      <w:r>
        <w:rPr>
          <w:b/>
          <w:bCs/>
        </w:rPr>
        <w:t xml:space="preserve">Technical &amp; integration</w:t>
      </w:r>
      <w:r>
        <w:t xml:space="preserve"> — cloud/hosting, security, APIs, named integrations, data-migration expectations.</w:t>
      </w:r>
    </w:p>
    <w:p>
      <w:pPr>
        <w:pStyle w:val="ListParagraph"/>
        <w:numPr>
          <w:ilvl w:val="0"/>
          <w:numId w:val="3"/>
        </w:numPr>
        <w:spacing w:after="64" w:line="264"/>
      </w:pPr>
      <w:r>
        <w:rPr>
          <w:b/>
          <w:bCs/>
        </w:rPr>
        <w:t xml:space="preserve">Implementation &amp; support</w:t>
      </w:r>
      <w:r>
        <w:t xml:space="preserve"> — methodology, timeline, team, training, SLAs, partner details.</w:t>
      </w:r>
    </w:p>
    <w:p>
      <w:pPr>
        <w:pStyle w:val="ListParagraph"/>
        <w:numPr>
          <w:ilvl w:val="0"/>
          <w:numId w:val="3"/>
        </w:numPr>
        <w:spacing w:after="64" w:line="264"/>
      </w:pPr>
      <w:r>
        <w:rPr>
          <w:b/>
          <w:bCs/>
        </w:rPr>
        <w:t xml:space="preserve">Commercials</w:t>
      </w:r>
      <w:r>
        <w:t xml:space="preserve"> — licence model, year-one and five-year TCO, all add-on and recurring costs itemised.</w:t>
      </w:r>
    </w:p>
    <w:p>
      <w:pPr>
        <w:pStyle w:val="ListParagraph"/>
        <w:numPr>
          <w:ilvl w:val="0"/>
          <w:numId w:val="3"/>
        </w:numPr>
        <w:spacing w:after="64" w:line="264"/>
      </w:pPr>
      <w:r>
        <w:rPr>
          <w:b/>
          <w:bCs/>
        </w:rPr>
        <w:t xml:space="preserve">Vendor information &amp; references</w:t>
      </w:r>
      <w:r>
        <w:t xml:space="preserve"> — viability, UK construction client references by size and subsector.</w:t>
      </w:r>
    </w:p>
    <w:p>
      <w:pPr>
        <w:pStyle w:val="ListParagraph"/>
        <w:numPr>
          <w:ilvl w:val="0"/>
          <w:numId w:val="3"/>
        </w:numPr>
        <w:spacing w:after="64" w:line="264"/>
      </w:pPr>
      <w:r>
        <w:rPr>
          <w:b/>
          <w:bCs/>
        </w:rPr>
        <w:t xml:space="preserve">Evaluation criteria &amp; weighting, timeline, and submission instructions.</w:t>
      </w:r>
    </w:p>
    <w:p>
      <w:pPr>
        <w:pStyle w:val="Heading2"/>
      </w:pPr>
      <w:r>
        <w:t xml:space="preserve">9.2 Vendor scoring spreadsheet (companion file)</w:t>
      </w:r>
    </w:p>
    <w:p>
      <w:pPr>
        <w:spacing w:after="140" w:line="276"/>
      </w:pPr>
      <w:r>
        <w:t xml:space="preserve">The accompanying Excel template implements the weighted model from Chapter 6. It contains:</w:t>
      </w:r>
    </w:p>
    <w:p>
      <w:pPr>
        <w:pStyle w:val="ListParagraph"/>
        <w:numPr>
          <w:ilvl w:val="0"/>
          <w:numId w:val="2"/>
        </w:numPr>
        <w:spacing w:after="64" w:line="264"/>
      </w:pPr>
      <w:r>
        <w:t xml:space="preserve">A </w:t>
      </w:r>
      <w:r>
        <w:rPr>
          <w:b/>
          <w:bCs/>
        </w:rPr>
        <w:t xml:space="preserve">weighted criteria sheet</w:t>
      </w:r>
      <w:r>
        <w:t xml:space="preserve"> — the eight criteria and weights (editable), pre-summed to 100%.</w:t>
      </w:r>
    </w:p>
    <w:p>
      <w:pPr>
        <w:pStyle w:val="ListParagraph"/>
        <w:numPr>
          <w:ilvl w:val="0"/>
          <w:numId w:val="2"/>
        </w:numPr>
        <w:spacing w:after="64" w:line="264"/>
      </w:pPr>
      <w:r>
        <w:t xml:space="preserve">A </w:t>
      </w:r>
      <w:r>
        <w:rPr>
          <w:b/>
          <w:bCs/>
        </w:rPr>
        <w:t xml:space="preserve">scoring grid</w:t>
      </w:r>
      <w:r>
        <w:t xml:space="preserve"> — score up to five vendors 1–5 per criterion; weighted scores and totals calculate automatically.</w:t>
      </w:r>
    </w:p>
    <w:p>
      <w:pPr>
        <w:pStyle w:val="ListParagraph"/>
        <w:numPr>
          <w:ilvl w:val="0"/>
          <w:numId w:val="2"/>
        </w:numPr>
        <w:spacing w:after="64" w:line="264"/>
      </w:pPr>
      <w:r>
        <w:t xml:space="preserve">A </w:t>
      </w:r>
      <w:r>
        <w:rPr>
          <w:b/>
          <w:bCs/>
        </w:rPr>
        <w:t xml:space="preserve">ranking summary</w:t>
      </w:r>
      <w:r>
        <w:t xml:space="preserve"> that orders vendors by weighted total, plus a notes column for evidence from demos and references.</w:t>
      </w:r>
    </w:p>
    <w:p>
      <w:pPr>
        <w:pStyle w:val="Heading2"/>
      </w:pPr>
      <w:r>
        <w:t xml:space="preserve">9.3 90-day post-selection checklist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900"/>
        <w:gridCol w:w="7126"/>
      </w:tblGrid>
      <w:tr>
        <w:trPr>
          <w:tblHeader/>
        </w:trPr>
        <w:tc>
          <w:tcPr>
            <w:tcW w:type="dxa" w:w="1900"/>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Window</w:t>
            </w:r>
          </w:p>
        </w:tc>
        <w:tc>
          <w:tcPr>
            <w:tcW w:type="dxa" w:w="7126"/>
            <w:tcBorders>
              <w:top w:val="single" w:color="C9D4E0" w:sz="1"/>
              <w:left w:val="single" w:color="C9D4E0" w:sz="1"/>
              <w:bottom w:val="single" w:color="C9D4E0" w:sz="1"/>
              <w:right w:val="single" w:color="C9D4E0" w:sz="1"/>
            </w:tcBorders>
            <w:shd w:fill="1F3A5F" w:val="clear"/>
            <w:tcMar>
              <w:top w:type="dxa" w:w="70"/>
              <w:left w:type="dxa" w:w="110"/>
              <w:bottom w:type="dxa" w:w="70"/>
              <w:right w:type="dxa" w:w="110"/>
            </w:tcMar>
            <w:vAlign w:val="center"/>
          </w:tcPr>
          <w:p>
            <w:pPr>
              <w:spacing w:after="0" w:line="248"/>
            </w:pPr>
            <w:r>
              <w:rPr>
                <w:b/>
                <w:bCs/>
                <w:color w:val="FFFFFF"/>
                <w:sz w:val="17"/>
                <w:szCs w:val="17"/>
              </w:rPr>
              <w:t xml:space="preserve">Key actions</w:t>
            </w:r>
          </w:p>
        </w:tc>
      </w:tr>
      <w:tr>
        <w:tc>
          <w:tcPr>
            <w:tcW w:type="dxa" w:w="19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Days 0–30 — Mobilise</w:t>
            </w:r>
          </w:p>
        </w:tc>
        <w:tc>
          <w:tcPr>
            <w:tcW w:type="dxa" w:w="71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Confirm governance and sponsor; agree project plan and RACI; audit and cleanse data; stand up environments; baseline current KPIs.</w:t>
            </w:r>
          </w:p>
        </w:tc>
      </w:tr>
      <w:tr>
        <w:tc>
          <w:tcPr>
            <w:tcW w:type="dxa" w:w="1900"/>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Days 31–60 — Build</w:t>
            </w:r>
          </w:p>
        </w:tc>
        <w:tc>
          <w:tcPr>
            <w:tcW w:type="dxa" w:w="7126"/>
            <w:tcBorders>
              <w:top w:val="single" w:color="C9D4E0" w:sz="1"/>
              <w:left w:val="single" w:color="C9D4E0" w:sz="1"/>
              <w:bottom w:val="single" w:color="C9D4E0" w:sz="1"/>
              <w:right w:val="single" w:color="C9D4E0" w:sz="1"/>
            </w:tcBorders>
            <w:shd w:fill="EAF1F8" w:val="clear"/>
            <w:tcMar>
              <w:top w:type="dxa" w:w="70"/>
              <w:left w:type="dxa" w:w="110"/>
              <w:bottom w:type="dxa" w:w="70"/>
              <w:right w:type="dxa" w:w="110"/>
            </w:tcMar>
            <w:vAlign w:val="center"/>
          </w:tcPr>
          <w:p>
            <w:pPr>
              <w:spacing w:after="0" w:line="244"/>
            </w:pPr>
            <w:r>
              <w:rPr>
                <w:sz w:val="16"/>
                <w:szCs w:val="16"/>
              </w:rPr>
              <w:t xml:space="preserve">Configure chart of accounts, contract structures and workflows; set up CIS/DRC/CITB; run a data-migration dry-run; build integrations; prepare training.</w:t>
            </w:r>
          </w:p>
        </w:tc>
      </w:tr>
      <w:tr>
        <w:tc>
          <w:tcPr>
            <w:tcW w:type="dxa" w:w="1900"/>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Days 61–90 — Test &amp; cut over</w:t>
            </w:r>
          </w:p>
        </w:tc>
        <w:tc>
          <w:tcPr>
            <w:tcW w:type="dxa" w:w="7126"/>
            <w:tcBorders>
              <w:top w:val="single" w:color="C9D4E0" w:sz="1"/>
              <w:left w:val="single" w:color="C9D4E0" w:sz="1"/>
              <w:bottom w:val="single" w:color="C9D4E0" w:sz="1"/>
              <w:right w:val="single" w:color="C9D4E0" w:sz="1"/>
            </w:tcBorders>
            <w:shd w:fill="FFFFFF" w:val="clear"/>
            <w:tcMar>
              <w:top w:type="dxa" w:w="70"/>
              <w:left w:type="dxa" w:w="110"/>
              <w:bottom w:type="dxa" w:w="70"/>
              <w:right w:type="dxa" w:w="110"/>
            </w:tcMar>
            <w:vAlign w:val="center"/>
          </w:tcPr>
          <w:p>
            <w:pPr>
              <w:spacing w:after="0" w:line="244"/>
            </w:pPr>
            <w:r>
              <w:rPr>
                <w:sz w:val="16"/>
                <w:szCs w:val="16"/>
              </w:rPr>
              <w:t xml:space="preserve">Run UAT including scripted CIS, Reverse Charge, AfP and CVR tests; parallel-run a period; finalise cutover and go-live readiness; confirm benefits baseline.</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9D4E0" w:sz="1"/>
              <w:left w:val="single" w:color="2E75B6" w:sz="18"/>
              <w:bottom w:val="single" w:color="C9D4E0" w:sz="1"/>
              <w:right w:val="single" w:color="C9D4E0" w:sz="1"/>
            </w:tcBorders>
            <w:shd w:fill="D9E2EC" w:val="clear"/>
            <w:tcMar>
              <w:top w:type="dxa" w:w="120"/>
              <w:left w:type="dxa" w:w="180"/>
              <w:bottom w:type="dxa" w:w="120"/>
              <w:right w:type="dxa" w:w="160"/>
            </w:tcMar>
          </w:tcPr>
          <w:p>
            <w:pPr>
              <w:spacing w:after="60"/>
            </w:pPr>
            <w:r>
              <w:rPr>
                <w:b/>
                <w:bCs/>
                <w:color w:val="1F3A5F"/>
                <w:sz w:val="19"/>
                <w:szCs w:val="19"/>
              </w:rPr>
              <w:t xml:space="preserve">Final principle</w:t>
            </w:r>
          </w:p>
          <w:p>
            <w:pPr>
              <w:spacing w:after="40" w:line="260"/>
            </w:pPr>
            <w:r>
              <w:rPr>
                <w:sz w:val="18"/>
                <w:szCs w:val="18"/>
              </w:rPr>
              <w:t xml:space="preserve">Anchor every decision on </w:t>
            </w:r>
            <w:r>
              <w:rPr>
                <w:b/>
                <w:bCs/>
                <w:sz w:val="18"/>
                <w:szCs w:val="18"/>
              </w:rPr>
              <w:t xml:space="preserve">compliance and operating-model fit first, size band second, subsector third</w:t>
            </w:r>
            <w:r>
              <w:rPr>
                <w:sz w:val="18"/>
                <w:szCs w:val="18"/>
              </w:rPr>
              <w:t xml:space="preserve"> — then prove it on your own data. Use this guide to frame the conversation with vendors; use a competitive procurement to conclude it.</w:t>
            </w:r>
          </w:p>
        </w:tc>
      </w:tr>
    </w:tbl>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9D4E0" w:sz="1"/>
              <w:left w:val="single" w:color="2E75B6" w:sz="0"/>
              <w:bottom w:val="single" w:color="C9D4E0" w:sz="1"/>
              <w:right w:val="single" w:color="C9D4E0" w:sz="1"/>
            </w:tcBorders>
            <w:shd w:fill="1F3A5F" w:val="clear"/>
            <w:tcMar>
              <w:top w:type="dxa" w:w="130"/>
              <w:left w:type="dxa" w:w="180"/>
              <w:bottom w:type="dxa" w:w="130"/>
              <w:right w:type="dxa" w:w="160"/>
            </w:tcMar>
          </w:tcPr>
          <w:p>
            <w:pPr>
              <w:spacing w:after="50"/>
            </w:pPr>
            <w:r>
              <w:rPr>
                <w:b/>
                <w:bCs/>
                <w:color w:val="FFFFFF"/>
                <w:sz w:val="21"/>
                <w:szCs w:val="21"/>
              </w:rPr>
              <w:t xml:space="preserve">Book your free 45-minute ERP Health Check with Construction365 Advisory</w:t>
            </w:r>
          </w:p>
          <w:p>
            <w:pPr>
              <w:spacing w:after="0"/>
            </w:pPr>
            <w:hyperlink w:history="1" r:id="rIdqh_pfhmj9xlx20hnngdx1">
              <w:r>
                <w:rPr>
                  <w:b/>
                  <w:bCs/>
                  <w:color w:val="FFFFFF"/>
                  <w:sz w:val="18"/>
                  <w:szCs w:val="18"/>
                  <w:u w:val="single"/>
                </w:rPr>
                <w:t xml:space="preserve">Independent, vendor-neutral guidance on your shortlist, requirements and budget  —  construction365.co.uk/erp-health-check</w:t>
              </w:r>
            </w:hyperlink>
          </w:p>
        </w:tc>
      </w:tr>
    </w:tbl>
    <w:p>
      <w:pPr>
        <w:spacing w:after="60" w:line="276"/>
      </w:pPr>
    </w:p>
    <w:p>
      <w:pPr>
        <w:pBdr>
          <w:bottom w:val="single" w:color="2E75B6" w:sz="6" w:space="1"/>
        </w:pBdr>
        <w:spacing w:after="120" w:before="40"/>
      </w:pPr>
    </w:p>
    <w:p>
      <w:pPr>
        <w:spacing w:after="80" w:line="276"/>
      </w:pPr>
      <w:r>
        <w:rPr>
          <w:b/>
          <w:bCs/>
          <w:color w:val="1F3A5F"/>
          <w:sz w:val="22"/>
          <w:szCs w:val="22"/>
        </w:rPr>
        <w:t xml:space="preserve">Important notice</w:t>
      </w:r>
    </w:p>
    <w:p>
      <w:pPr>
        <w:spacing w:after="140" w:line="276"/>
      </w:pPr>
      <w:r>
        <w:rPr>
          <w:i/>
          <w:iCs/>
          <w:color w:val="5B6B7B"/>
          <w:sz w:val="18"/>
          <w:szCs w:val="18"/>
        </w:rPr>
        <w:t xml:space="preserve">This guide is general market guidance for technology selection. It is not financial, legal, procurement or investment advice, and does not endorse any vendor. Vendor positioning, product names, ratings and prices reflect the UK market as understood at the time of writing and are subject to change as vendors release, rebrand, acquire and retire products. The comparison ratings are indicative editorial assessments, not measured benchmarks. All cost figures are indicative first-year ranges (software plus implementation) for budgeting and shortlisting only; they are not quotations and will vary significantly with scope, modules, users, data migration and negotiation. The case studies are illustrative composites, not specific named clients. Verify all features, compliance capabilities, ratings and prices directly with vendors through a competitive procurement before making any commitment.</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4E0" w:sz="4" w:space="4"/>
      </w:pBdr>
      <w:tabs>
        <w:tab w:val="right" w:pos="9026"/>
      </w:tabs>
      <w:spacing w:before="0"/>
    </w:pPr>
    <w:r>
      <w:rPr>
        <w:color w:val="5B6B7B"/>
        <w:sz w:val="15"/>
        <w:szCs w:val="15"/>
      </w:rPr>
      <w:t xml:space="preserve">Construction365 — Independent Construction Advisors</w:t>
    </w:r>
    <w:r>
      <w:rPr>
        <w:color w:val="5B6B7B"/>
        <w:sz w:val="15"/>
        <w:szCs w:val="15"/>
      </w:rPr>
      <w:t xml:space="preserve">	Page </w:t>
    </w:r>
    <w:r>
      <w:rPr>
        <w:color w:val="5B6B7B"/>
        <w:sz w:val="15"/>
        <w:szCs w:val="15"/>
      </w:rPr>
      <w:fldChar w:fldCharType="begin"/>
      <w:instrText xml:space="preserve">PAGE</w:instrText>
      <w:fldChar w:fldCharType="separate"/>
      <w:fldChar w:fldCharType="end"/>
    </w:r>
    <w:r>
      <w:rPr>
        <w:color w:val="5B6B7B"/>
        <w:sz w:val="15"/>
        <w:szCs w:val="15"/>
      </w:rPr>
      <w:t xml:space="preserve"> of </w:t>
    </w:r>
    <w:r>
      <w:rPr>
        <w:color w:val="5B6B7B"/>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D4E0" w:sz="4" w:space="4"/>
      </w:pBdr>
      <w:tabs>
        <w:tab w:val="right" w:pos="9026"/>
      </w:tabs>
      <w:spacing w:after="0"/>
    </w:pPr>
    <w:r>
      <w:rPr>
        <w:color w:val="5B6B7B"/>
        <w:sz w:val="15"/>
        <w:szCs w:val="15"/>
      </w:rPr>
      <w:t xml:space="preserve">How to Select the Right Construction ERP System in the UK</w:t>
    </w:r>
    <w:r>
      <w:rPr>
        <w:color w:val="5B6B7B"/>
        <w:sz w:val="15"/>
        <w:szCs w:val="15"/>
      </w:rPr>
      <w:t xml:space="preserve">	2026 Buyer’s Guide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color w:val="2E75B6"/>
      </w:r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B36"/>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2E75B6" w:sz="6" w:space="4"/>
      </w:pBdr>
      <w:spacing w:after="150" w:before="280"/>
      <w:outlineLvl w:val="0"/>
    </w:pPr>
    <w:rPr>
      <w:rFonts w:ascii="Calibri" w:cs="Calibri" w:eastAsia="Calibri" w:hAnsi="Calibri"/>
      <w:b/>
      <w:bCs/>
      <w:color w:val="1F3A5F"/>
      <w:sz w:val="30"/>
      <w:szCs w:val="30"/>
    </w:rPr>
  </w:style>
  <w:style w:type="paragraph" w:styleId="Heading2">
    <w:name w:val="Heading 2"/>
    <w:basedOn w:val="Normal"/>
    <w:next w:val="Normal"/>
    <w:qFormat/>
    <w:pPr>
      <w:spacing w:after="100" w:before="220"/>
      <w:outlineLvl w:val="1"/>
    </w:pPr>
    <w:rPr>
      <w:rFonts w:ascii="Calibri" w:cs="Calibri" w:eastAsia="Calibri" w:hAnsi="Calibri"/>
      <w:b/>
      <w:bCs/>
      <w:color w:val="1F3A5F"/>
      <w:sz w:val="25"/>
      <w:szCs w:val="25"/>
    </w:rPr>
  </w:style>
  <w:style w:type="paragraph" w:styleId="Heading3">
    <w:name w:val="Heading 3"/>
    <w:basedOn w:val="Normal"/>
    <w:next w:val="Normal"/>
    <w:qFormat/>
    <w:pPr>
      <w:spacing w:after="70" w:before="150"/>
      <w:outlineLvl w:val="2"/>
    </w:pPr>
    <w:rPr>
      <w:rFonts w:ascii="Calibri" w:cs="Calibri" w:eastAsia="Calibri" w:hAnsi="Calibri"/>
      <w:b/>
      <w:bCs/>
      <w:color w:val="2E75B6"/>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hpjumtre_-91u9bfbpulx" Type="http://schemas.openxmlformats.org/officeDocument/2006/relationships/hyperlink" Target="https://www.capterra.co.uk/reviews/70093/coins" TargetMode="External"/><Relationship Id="rIdqvkwsotizeghkc77iiafs" Type="http://schemas.openxmlformats.org/officeDocument/2006/relationships/hyperlink" Target="https://www.g2.com/products/access-coins/reviews" TargetMode="External"/><Relationship Id="rIdapk1ae1excg1plihl-zam" Type="http://schemas.openxmlformats.org/officeDocument/2006/relationships/hyperlink" Target="https://www.capterra.com/p/227604/Sage-200cloud/reviews/" TargetMode="External"/><Relationship Id="rId3zkointhhuywu3h3l9mdf" Type="http://schemas.openxmlformats.org/officeDocument/2006/relationships/hyperlink" Target="https://www.capterra.com/p/154874/Sage-Construction-Suite/reviews/" TargetMode="External"/><Relationship Id="rIdbvriwgvhed6m8glloyv6j" Type="http://schemas.openxmlformats.org/officeDocument/2006/relationships/hyperlink" Target="https://www.eque2-construction.co.uk/" TargetMode="External"/><Relationship Id="rIdumndvt6frxlcqxwgwkfzn" Type="http://schemas.openxmlformats.org/officeDocument/2006/relationships/hyperlink" Target="https://www.capterra.com/p/141175/EValuate/" TargetMode="External"/><Relationship Id="rIdprnc-xeco6yrni1aciyff" Type="http://schemas.openxmlformats.org/officeDocument/2006/relationships/hyperlink" Target="https://www.eque2-construction.co.uk/cis-software/" TargetMode="External"/><Relationship Id="rIdfrcqy2fjsx8tlyy_4cwhw" Type="http://schemas.openxmlformats.org/officeDocument/2006/relationships/hyperlink" Target="https://www.capterra.com/p/227780/Causeway-Project-Accounting/" TargetMode="External"/><Relationship Id="rIdp6nqkym5qzuk4dqwemkwa" Type="http://schemas.openxmlformats.org/officeDocument/2006/relationships/hyperlink" Target="https://www.capterra.com/p/126565/Causeway-Estimating/" TargetMode="External"/><Relationship Id="rId78mxxfl-vslvmapauopdd" Type="http://schemas.openxmlformats.org/officeDocument/2006/relationships/hyperlink" Target="https://www.selecthub.com/p/construction-management-software/acumatica-construction-edition/" TargetMode="External"/><Relationship Id="rIdytmffv0jrpxyodlbrf8ki" Type="http://schemas.openxmlformats.org/officeDocument/2006/relationships/hyperlink" Target="https://www.pinnacle-online.com/products/acumatica/construction-edition" TargetMode="External"/><Relationship Id="rIdjebmbqcey6lno3q94c9es" Type="http://schemas.openxmlformats.org/officeDocument/2006/relationships/hyperlink" Target="https://www.g2.com/products/access-coins/competitors/alternatives" TargetMode="External"/><Relationship Id="rIdkwdxezspbj-lmbdpebnt1" Type="http://schemas.openxmlformats.org/officeDocument/2006/relationships/hyperlink" Target="https://www.g2.com/products/access-coins/competitors/alternatives" TargetMode="External"/><Relationship Id="rIdyo1dc1nu1mrxmv7fsyqxl" Type="http://schemas.openxmlformats.org/officeDocument/2006/relationships/hyperlink" Target="https://www.g2.com/products/netsuite/reviews" TargetMode="External"/><Relationship Id="rIdtyzekzesxjsgjhypq2epu" Type="http://schemas.openxmlformats.org/officeDocument/2006/relationships/hyperlink" Target="https://www.capterra.com/p/135757/NetSuite/reviews/" TargetMode="External"/><Relationship Id="rId0qocehwfvom7_d3xudrl4" Type="http://schemas.openxmlformats.org/officeDocument/2006/relationships/hyperlink" Target="https://www.g2.com/compare/netsuite-vs-sap-s-4hana-cloud" TargetMode="External"/><Relationship Id="rIdfwcczp3d5s5kx1qeajlpn" Type="http://schemas.openxmlformats.org/officeDocument/2006/relationships/hyperlink" Target="https://www.capterra.com/p/152293/SAP-S-4HANA/reviews/" TargetMode="External"/><Relationship Id="rId2l7amlwbolhbpwo9wslhd" Type="http://schemas.openxmlformats.org/officeDocument/2006/relationships/hyperlink" Target="https://www.g2.com/products/access-coins/competitors/alternatives" TargetMode="External"/><Relationship Id="rId5ttphoshna8xqevrsikkd" Type="http://schemas.openxmlformats.org/officeDocument/2006/relationships/hyperlink" Target="https://www.construction365.co.uk/erp-health-check" TargetMode="External"/><Relationship Id="rIdinf_sr_yb3xkypmn_osva" Type="http://schemas.openxmlformats.org/officeDocument/2006/relationships/hyperlink" Target="https://www.construction365.co.uk/erp-health-check" TargetMode="External"/><Relationship Id="rIdqh_pfhmj9xlx20hnngdx1" Type="http://schemas.openxmlformats.org/officeDocument/2006/relationships/hyperlink" Target="https://www.construction365.co.uk/erp-health-check" TargetMode="External"/><Relationship Id="rId3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Select the Right Construction ERP System in the UK — 2026</dc:title>
  <dc:creator>Independent Buyer's Guide</dc:creator>
  <cp:lastModifiedBy>Un-named</cp:lastModifiedBy>
  <cp:revision>1</cp:revision>
  <dcterms:created xsi:type="dcterms:W3CDTF">2026-06-21T09:42:17.393Z</dcterms:created>
  <dcterms:modified xsi:type="dcterms:W3CDTF">2026-06-21T09:42:17.393Z</dcterms:modified>
</cp:coreProperties>
</file>

<file path=docProps/custom.xml><?xml version="1.0" encoding="utf-8"?>
<Properties xmlns="http://schemas.openxmlformats.org/officeDocument/2006/custom-properties" xmlns:vt="http://schemas.openxmlformats.org/officeDocument/2006/docPropsVTypes"/>
</file>